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rFonts w:ascii="Times New Roman" w:hAnsi="Times New Roman"/>
          <w:sz w:val="28"/>
        </w:rPr>
      </w:pPr>
      <w:r>
        <w:drawing>
          <wp:inline>
            <wp:extent cx="6300469" cy="8986473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300469" cy="8986473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</w:rPr>
        <w:br w:type="page"/>
      </w:r>
      <w:r>
        <w:rPr>
          <w:rFonts w:ascii="Times New Roman" w:hAnsi="Times New Roman"/>
          <w:sz w:val="28"/>
        </w:rPr>
        <w:t>ПОЯСНИТЕЛЬНАЯ ЗАПИСКА</w:t>
      </w:r>
    </w:p>
    <w:p w14:paraId="02000000">
      <w:pPr>
        <w:spacing w:line="276" w:lineRule="auto"/>
        <w:ind/>
        <w:jc w:val="center"/>
        <w:rPr>
          <w:rFonts w:ascii="Times New Roman" w:hAnsi="Times New Roman"/>
          <w:sz w:val="28"/>
        </w:rPr>
      </w:pPr>
    </w:p>
    <w:p w14:paraId="03000000">
      <w:pPr>
        <w:spacing w:line="276" w:lineRule="auto"/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Учебный план начального общего образования</w:t>
      </w:r>
      <w:r>
        <w:rPr>
          <w:rStyle w:val="Style_1_ch"/>
          <w:rFonts w:ascii="Times New Roman" w:hAnsi="Times New Roman"/>
          <w:sz w:val="28"/>
        </w:rPr>
        <w:t xml:space="preserve"> 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(далее - учебный план) для 1-4 классов, реализующих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основную образовательную программу начального общего образования, соответствующ</w:t>
      </w:r>
      <w:r>
        <w:rPr>
          <w:rStyle w:val="Style_1_ch"/>
          <w:rFonts w:ascii="Times New Roman" w:hAnsi="Times New Roman"/>
          <w:sz w:val="28"/>
        </w:rPr>
        <w:t>ую</w:t>
      </w:r>
      <w:r>
        <w:rPr>
          <w:rStyle w:val="Style_1_ch"/>
          <w:rFonts w:ascii="Times New Roman" w:hAnsi="Times New Roman"/>
          <w:sz w:val="28"/>
        </w:rPr>
        <w:t xml:space="preserve"> ФГОС НОО</w:t>
      </w:r>
      <w:r>
        <w:rPr>
          <w:rStyle w:val="Style_1_ch"/>
          <w:rFonts w:ascii="Times New Roman" w:hAnsi="Times New Roman"/>
          <w:sz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>
        <w:rPr>
          <w:rStyle w:val="Style_1_ch"/>
          <w:rFonts w:ascii="Times New Roman" w:hAnsi="Times New Roman"/>
          <w:sz w:val="28"/>
        </w:rPr>
        <w:t>ального общего образования»)</w:t>
      </w:r>
      <w:r>
        <w:rPr>
          <w:rStyle w:val="Style_1_ch"/>
          <w:rFonts w:ascii="Times New Roman" w:hAnsi="Times New Roman"/>
          <w:sz w:val="28"/>
        </w:rPr>
        <w:t xml:space="preserve">, </w:t>
      </w:r>
      <w:r>
        <w:rPr>
          <w:rStyle w:val="Style_1_ch"/>
          <w:rFonts w:ascii="Times New Roman" w:hAnsi="Times New Roman"/>
          <w:sz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04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Учебный план является частью образовательной программы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Style w:val="Style_1_ch"/>
          <w:rFonts w:ascii="Times New Roman" w:hAnsi="Times New Roman"/>
          <w:sz w:val="28"/>
        </w:rPr>
        <w:t>,</w:t>
      </w:r>
      <w:r>
        <w:rPr>
          <w:rStyle w:val="Style_1_ch"/>
          <w:rFonts w:ascii="Times New Roman" w:hAnsi="Times New Roman"/>
          <w:sz w:val="28"/>
        </w:rPr>
        <w:t xml:space="preserve"> разработанной в соответствии с ФГОС начального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общего образования</w:t>
      </w:r>
      <w:r>
        <w:rPr>
          <w:rStyle w:val="Style_1_ch"/>
          <w:rFonts w:ascii="Times New Roman" w:hAnsi="Times New Roman"/>
          <w:sz w:val="28"/>
        </w:rPr>
        <w:t>,</w:t>
      </w:r>
      <w:r>
        <w:rPr>
          <w:rStyle w:val="Style_1_ch"/>
          <w:rFonts w:ascii="Times New Roman" w:hAnsi="Times New Roman"/>
          <w:sz w:val="28"/>
        </w:rPr>
        <w:t xml:space="preserve"> с учетом </w:t>
      </w:r>
      <w:r>
        <w:rPr>
          <w:rStyle w:val="Style_1_ch"/>
          <w:rFonts w:ascii="Times New Roman" w:hAnsi="Times New Roman"/>
          <w:sz w:val="28"/>
        </w:rPr>
        <w:t xml:space="preserve">Федеральной </w:t>
      </w:r>
      <w:r>
        <w:rPr>
          <w:rStyle w:val="Style_1_ch"/>
          <w:rFonts w:ascii="Times New Roman" w:hAnsi="Times New Roman"/>
          <w:sz w:val="28"/>
        </w:rPr>
        <w:t>образовательн</w:t>
      </w:r>
      <w:r>
        <w:rPr>
          <w:rStyle w:val="Style_1_ch"/>
          <w:rFonts w:ascii="Times New Roman" w:hAnsi="Times New Roman"/>
          <w:sz w:val="28"/>
        </w:rPr>
        <w:t>ой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программ</w:t>
      </w:r>
      <w:r>
        <w:rPr>
          <w:rStyle w:val="Style_1_ch"/>
          <w:rFonts w:ascii="Times New Roman" w:hAnsi="Times New Roman"/>
          <w:sz w:val="28"/>
        </w:rPr>
        <w:t>ой</w:t>
      </w:r>
      <w:r>
        <w:rPr>
          <w:rStyle w:val="Style_1_ch"/>
          <w:rFonts w:ascii="Times New Roman" w:hAnsi="Times New Roman"/>
          <w:sz w:val="28"/>
        </w:rPr>
        <w:t xml:space="preserve"> начального общего образования</w:t>
      </w:r>
      <w:r>
        <w:rPr>
          <w:rStyle w:val="Style_1_ch"/>
          <w:rFonts w:ascii="Times New Roman" w:hAnsi="Times New Roman"/>
          <w:sz w:val="28"/>
        </w:rPr>
        <w:t>,</w:t>
      </w:r>
      <w:r>
        <w:rPr>
          <w:rStyle w:val="Style_1_ch"/>
          <w:rFonts w:ascii="Times New Roman" w:hAnsi="Times New Roman"/>
          <w:sz w:val="28"/>
        </w:rPr>
        <w:t xml:space="preserve"> и обеспечивает выполнение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санитарно-эпидемиологических требований СП 2.4.3648-20 и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гигиенических нормативов и требований СанПиН 1.2.3685-21.</w:t>
      </w:r>
    </w:p>
    <w:p w14:paraId="05000000">
      <w:pPr>
        <w:spacing w:line="276" w:lineRule="auto"/>
        <w:ind w:firstLine="567"/>
        <w:jc w:val="both"/>
        <w:rPr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Учебный год в </w:t>
      </w:r>
      <w:r>
        <w:rPr>
          <w:rStyle w:val="Style_1_ch"/>
          <w:rFonts w:ascii="Times New Roman" w:hAnsi="Times New Roman"/>
          <w:sz w:val="28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начинается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01.09.2023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и заканчивается </w:t>
      </w:r>
      <w:r>
        <w:rPr>
          <w:rFonts w:ascii="Times New Roman" w:hAnsi="Times New Roman"/>
          <w:sz w:val="28"/>
        </w:rPr>
        <w:t>25.09.2024</w:t>
      </w:r>
      <w:r>
        <w:rPr>
          <w:rFonts w:ascii="Times New Roman" w:hAnsi="Times New Roman"/>
          <w:sz w:val="28"/>
        </w:rPr>
        <w:t xml:space="preserve">. </w:t>
      </w:r>
    </w:p>
    <w:p w14:paraId="06000000">
      <w:pPr>
        <w:spacing w:line="276" w:lineRule="auto"/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Продолжительность учебного года в 1 классе - 33 учебные недели во 2-4 классах – 34 учебных недели. </w:t>
      </w:r>
    </w:p>
    <w:p w14:paraId="07000000">
      <w:pPr>
        <w:spacing w:line="276" w:lineRule="auto"/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Максимальный объем аудиторной нагрузки обучающихся в неделю составляет 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в 1 классе - 21 час, во 2 – 4 классах – 2</w:t>
      </w:r>
      <w:r>
        <w:rPr>
          <w:rStyle w:val="Style_1_ch"/>
          <w:rFonts w:ascii="Times New Roman" w:hAnsi="Times New Roman"/>
          <w:sz w:val="28"/>
        </w:rPr>
        <w:t>6</w:t>
      </w:r>
      <w:r>
        <w:rPr>
          <w:rStyle w:val="Style_1_ch"/>
          <w:rFonts w:ascii="Times New Roman" w:hAnsi="Times New Roman"/>
          <w:sz w:val="28"/>
        </w:rPr>
        <w:t xml:space="preserve"> час</w:t>
      </w:r>
      <w:r>
        <w:rPr>
          <w:rStyle w:val="Style_1_ch"/>
          <w:rFonts w:ascii="Times New Roman" w:hAnsi="Times New Roman"/>
          <w:sz w:val="28"/>
        </w:rPr>
        <w:t>ов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.</w:t>
      </w:r>
    </w:p>
    <w:p w14:paraId="08000000">
      <w:pPr>
        <w:spacing w:line="276" w:lineRule="auto"/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09000000">
      <w:pPr>
        <w:pStyle w:val="Style_2"/>
        <w:numPr>
          <w:ilvl w:val="0"/>
          <w:numId w:val="1"/>
        </w:numPr>
        <w:spacing w:line="276" w:lineRule="auto"/>
        <w:ind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для обучающихся 1-х классов - не превышает 4 уроков и один раз в неделю -5 уроков.</w:t>
      </w:r>
    </w:p>
    <w:p w14:paraId="0A000000">
      <w:pPr>
        <w:pStyle w:val="Style_2"/>
        <w:numPr>
          <w:ilvl w:val="0"/>
          <w:numId w:val="1"/>
        </w:numPr>
        <w:spacing w:line="276" w:lineRule="auto"/>
        <w:ind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для обучающихся 2-4 классов - не более 5 уроков.</w:t>
      </w:r>
    </w:p>
    <w:p w14:paraId="0B000000">
      <w:pPr>
        <w:spacing w:line="276" w:lineRule="auto"/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</w:t>
      </w:r>
      <w:r>
        <w:rPr>
          <w:rStyle w:val="Style_1_ch"/>
          <w:rFonts w:ascii="Times New Roman" w:hAnsi="Times New Roman"/>
          <w:sz w:val="28"/>
        </w:rPr>
        <w:t xml:space="preserve">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0C000000">
      <w:pPr>
        <w:spacing w:line="276" w:lineRule="auto"/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>
        <w:rPr>
          <w:rFonts w:ascii="Times New Roman" w:hAnsi="Times New Roman"/>
          <w:sz w:val="28"/>
        </w:rPr>
        <w:t>45</w:t>
      </w:r>
      <w:r>
        <w:rPr>
          <w:rStyle w:val="Style_1_ch"/>
          <w:rFonts w:ascii="Times New Roman" w:hAnsi="Times New Roman"/>
          <w:sz w:val="28"/>
        </w:rPr>
        <w:t xml:space="preserve"> минут, за исключением 1 класса.</w:t>
      </w:r>
    </w:p>
    <w:p w14:paraId="0D000000">
      <w:pPr>
        <w:spacing w:line="276" w:lineRule="auto"/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Обучение в 1-м классе осуществляется с соблюдением следующих дополнительных требований: </w:t>
      </w:r>
    </w:p>
    <w:p w14:paraId="0E000000">
      <w:pPr>
        <w:pStyle w:val="Style_2"/>
        <w:numPr>
          <w:ilvl w:val="0"/>
          <w:numId w:val="2"/>
        </w:numPr>
        <w:spacing w:line="276" w:lineRule="auto"/>
        <w:ind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учебные занятия проводятся по 5-дневной учебной неделе и только в первую смену;</w:t>
      </w:r>
    </w:p>
    <w:p w14:paraId="0F000000">
      <w:pPr>
        <w:pStyle w:val="Style_2"/>
        <w:numPr>
          <w:ilvl w:val="0"/>
          <w:numId w:val="2"/>
        </w:numPr>
        <w:spacing w:line="276" w:lineRule="auto"/>
        <w:ind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10000000">
      <w:pPr>
        <w:pStyle w:val="Style_2"/>
        <w:numPr>
          <w:ilvl w:val="0"/>
          <w:numId w:val="2"/>
        </w:numPr>
        <w:spacing w:line="276" w:lineRule="auto"/>
        <w:ind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Продолжительность выполнения домашних заданий составляет во 2-3 классах - 1,5 ч., в 4 классах - 2 ч.</w:t>
      </w:r>
    </w:p>
    <w:p w14:paraId="11000000">
      <w:pPr>
        <w:spacing w:line="276" w:lineRule="auto"/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12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Учебные занятия для учащихся 2-4 классов проводятся по</w:t>
      </w:r>
      <w:r>
        <w:rPr>
          <w:rStyle w:val="Style_1_ch"/>
          <w:rFonts w:ascii="Times New Roman" w:hAnsi="Times New Roman"/>
          <w:sz w:val="28"/>
        </w:rPr>
        <w:t xml:space="preserve"> 6</w:t>
      </w:r>
      <w:r>
        <w:rPr>
          <w:rStyle w:val="Style_1_ch"/>
          <w:rFonts w:ascii="Times New Roman" w:hAnsi="Times New Roman"/>
          <w:sz w:val="28"/>
        </w:rPr>
        <w:t>-</w:t>
      </w:r>
      <w:r>
        <w:rPr>
          <w:rStyle w:val="Style_1_ch"/>
          <w:rFonts w:ascii="Times New Roman" w:hAnsi="Times New Roman"/>
          <w:sz w:val="28"/>
        </w:rPr>
        <w:t>и</w:t>
      </w:r>
      <w:r>
        <w:rPr>
          <w:rStyle w:val="Style_1_ch"/>
          <w:rFonts w:ascii="Times New Roman" w:hAnsi="Times New Roman"/>
          <w:sz w:val="28"/>
        </w:rPr>
        <w:t xml:space="preserve"> дневной учебной неделе.</w:t>
      </w:r>
    </w:p>
    <w:p w14:paraId="13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14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15000000">
      <w:pPr>
        <w:ind w:firstLine="567"/>
        <w:jc w:val="both"/>
        <w:rPr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В </w:t>
      </w:r>
      <w:r>
        <w:rPr>
          <w:rStyle w:val="Style_1_ch"/>
          <w:rFonts w:ascii="Times New Roman" w:hAnsi="Times New Roman"/>
          <w:sz w:val="28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языком об</w:t>
      </w:r>
      <w:r>
        <w:rPr>
          <w:rStyle w:val="Style_1_ch"/>
          <w:rFonts w:ascii="Times New Roman" w:hAnsi="Times New Roman"/>
          <w:sz w:val="28"/>
        </w:rPr>
        <w:t>учения</w:t>
      </w:r>
      <w:r>
        <w:rPr>
          <w:rStyle w:val="Style_1_ch"/>
          <w:rFonts w:ascii="Times New Roman" w:hAnsi="Times New Roman"/>
          <w:sz w:val="28"/>
        </w:rPr>
        <w:t xml:space="preserve"> является </w:t>
      </w:r>
      <w:r>
        <w:rPr>
          <w:rFonts w:ascii="Times New Roman" w:hAnsi="Times New Roman"/>
          <w:sz w:val="28"/>
        </w:rPr>
        <w:t xml:space="preserve">русский </w:t>
      </w:r>
      <w:r>
        <w:rPr>
          <w:rFonts w:ascii="Times New Roman" w:hAnsi="Times New Roman"/>
          <w:sz w:val="28"/>
        </w:rPr>
        <w:t>язык</w:t>
      </w:r>
      <w:r>
        <w:rPr>
          <w:rFonts w:ascii="Times New Roman" w:hAnsi="Times New Roman"/>
          <w:sz w:val="28"/>
        </w:rPr>
        <w:t>.</w:t>
      </w:r>
    </w:p>
    <w:p w14:paraId="16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17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>
        <w:rPr>
          <w:rStyle w:val="Style_1_ch"/>
          <w:rFonts w:ascii="Times New Roman" w:hAnsi="Times New Roman"/>
          <w:sz w:val="28"/>
        </w:rPr>
        <w:t>.</w:t>
      </w:r>
    </w:p>
    <w:p w14:paraId="18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При изучении </w:t>
      </w:r>
      <w:r>
        <w:rPr>
          <w:rStyle w:val="Style_1_ch"/>
          <w:rFonts w:ascii="Times New Roman" w:hAnsi="Times New Roman"/>
          <w:sz w:val="28"/>
        </w:rPr>
        <w:t xml:space="preserve">предметов </w:t>
      </w:r>
      <w:r>
        <w:rPr>
          <w:rStyle w:val="Style_1_ch"/>
          <w:rFonts w:ascii="Times New Roman" w:hAnsi="Times New Roman"/>
          <w:sz w:val="28"/>
        </w:rPr>
        <w:t>родной язык, литературное чтение на родном языке, государственный язык Республики Татарстан</w:t>
      </w:r>
      <w:r>
        <w:rPr>
          <w:rStyle w:val="Style_1_ch"/>
          <w:rFonts w:ascii="Times New Roman" w:hAnsi="Times New Roman"/>
        </w:rPr>
        <w:t xml:space="preserve"> </w:t>
      </w:r>
      <w:r>
        <w:rPr>
          <w:rStyle w:val="Style_1_ch"/>
          <w:rFonts w:ascii="Times New Roman" w:hAnsi="Times New Roman"/>
          <w:sz w:val="28"/>
        </w:rPr>
        <w:t>осуществляется д</w:t>
      </w:r>
      <w:r>
        <w:rPr>
          <w:rStyle w:val="Style_1_ch"/>
          <w:rFonts w:ascii="Times New Roman" w:hAnsi="Times New Roman"/>
          <w:sz w:val="28"/>
        </w:rPr>
        <w:t xml:space="preserve">еление </w:t>
      </w:r>
      <w:r>
        <w:rPr>
          <w:rStyle w:val="Style_1_ch"/>
          <w:rFonts w:ascii="Times New Roman" w:hAnsi="Times New Roman"/>
          <w:sz w:val="28"/>
        </w:rPr>
        <w:t xml:space="preserve">учащихся </w:t>
      </w:r>
      <w:r>
        <w:rPr>
          <w:rStyle w:val="Style_1_ch"/>
          <w:rFonts w:ascii="Times New Roman" w:hAnsi="Times New Roman"/>
          <w:sz w:val="28"/>
        </w:rPr>
        <w:t>на подгруппы</w:t>
      </w:r>
      <w:r>
        <w:rPr>
          <w:rStyle w:val="Style_1_ch"/>
          <w:rFonts w:ascii="Times New Roman" w:hAnsi="Times New Roman"/>
          <w:sz w:val="28"/>
        </w:rPr>
        <w:t>.</w:t>
      </w:r>
    </w:p>
    <w:p w14:paraId="19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Промежуточная аттестация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–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процедура, проводимая с целью оценки качества освоения обучающимися части содержания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(четвертное оценивание) или всего объема учебной дисциплины за учебный год (годовое оценивание).</w:t>
      </w:r>
    </w:p>
    <w:p w14:paraId="1A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Промежуточная/годовая аттестация обучающихся за четверть осуществляется в соответствии с календарным учебным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графиком.</w:t>
      </w:r>
    </w:p>
    <w:p w14:paraId="1B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образовательных отношений, являются </w:t>
      </w:r>
      <w:r>
        <w:rPr>
          <w:rStyle w:val="Style_1_ch"/>
          <w:rFonts w:ascii="Times New Roman" w:hAnsi="Times New Roman"/>
          <w:sz w:val="28"/>
        </w:rPr>
        <w:t>безотметочными</w:t>
      </w:r>
      <w:r>
        <w:rPr>
          <w:rStyle w:val="Style_1_ch"/>
          <w:rFonts w:ascii="Times New Roman" w:hAnsi="Times New Roman"/>
          <w:sz w:val="28"/>
        </w:rPr>
        <w:t xml:space="preserve"> и оцениваются «зачет» или «незачет» по итогам четверти. </w:t>
      </w:r>
    </w:p>
    <w:p w14:paraId="1C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Промежуточная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аттестация проходит на последней учебной неделе четверти.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>
        <w:rPr>
          <w:rStyle w:val="Style_1_ch"/>
          <w:rFonts w:ascii="Times New Roman" w:hAnsi="Times New Roman"/>
          <w:sz w:val="28"/>
        </w:rPr>
        <w:br/>
      </w:r>
      <w:r>
        <w:rPr>
          <w:rStyle w:val="Style_1_ch"/>
          <w:rFonts w:ascii="Times New Roman" w:hAnsi="Times New Roman"/>
          <w:sz w:val="28"/>
        </w:rPr>
        <w:t xml:space="preserve">текущего контроля успеваемости и промежуточной аттестации обучающихся </w:t>
      </w:r>
      <w:r>
        <w:rPr>
          <w:rStyle w:val="Style_1_ch"/>
          <w:rFonts w:ascii="Times New Roman" w:hAnsi="Times New Roman"/>
          <w:sz w:val="28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Style w:val="Style_1_ch"/>
          <w:rFonts w:ascii="Times New Roman" w:hAnsi="Times New Roman"/>
          <w:sz w:val="28"/>
        </w:rPr>
        <w:t>.</w:t>
      </w:r>
      <w:r>
        <w:rPr>
          <w:rStyle w:val="Style_1_ch"/>
          <w:rFonts w:ascii="Times New Roman" w:hAnsi="Times New Roman"/>
          <w:sz w:val="28"/>
        </w:rPr>
        <w:t xml:space="preserve"> </w:t>
      </w:r>
    </w:p>
    <w:p w14:paraId="1D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на </w:t>
      </w:r>
      <w:r>
        <w:rPr>
          <w:rStyle w:val="Style_1_ch"/>
          <w:rFonts w:ascii="Times New Roman" w:hAnsi="Times New Roman"/>
          <w:sz w:val="28"/>
        </w:rPr>
        <w:t>критериальной</w:t>
      </w:r>
      <w:r>
        <w:rPr>
          <w:rStyle w:val="Style_1_ch"/>
          <w:rFonts w:ascii="Times New Roman" w:hAnsi="Times New Roman"/>
          <w:sz w:val="28"/>
        </w:rPr>
        <w:t xml:space="preserve"> основе, в форме письменных заключений учителя, по итогам проверки самостоятельных работ.</w:t>
      </w:r>
    </w:p>
    <w:p w14:paraId="1E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Освоение основных образовательных программ начального общего образования завершается итоговой аттестацией.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Нормативный срок освоения ООП НОО составляет 4 года</w:t>
      </w:r>
      <w:r>
        <w:rPr>
          <w:rStyle w:val="Style_1_ch"/>
          <w:rFonts w:ascii="Times New Roman" w:hAnsi="Times New Roman"/>
          <w:sz w:val="28"/>
        </w:rPr>
        <w:t>.</w:t>
      </w:r>
    </w:p>
    <w:p w14:paraId="1F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20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21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22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23000000">
      <w:pPr>
        <w:widowControl w:val="0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24000000">
      <w:pPr>
        <w:tabs>
          <w:tab w:leader="none" w:pos="2820" w:val="left"/>
          <w:tab w:leader="none" w:pos="4962" w:val="left"/>
        </w:tabs>
        <w:spacing w:after="0" w:line="240" w:lineRule="auto"/>
        <w:ind w:firstLine="0" w:left="720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Формы промежуточной аттестации для 1-4 классов</w:t>
      </w:r>
    </w:p>
    <w:p w14:paraId="25000000">
      <w:pPr>
        <w:tabs>
          <w:tab w:leader="none" w:pos="2820" w:val="left"/>
          <w:tab w:leader="none" w:pos="4962" w:val="left"/>
        </w:tabs>
        <w:spacing w:after="0" w:line="240" w:lineRule="auto"/>
        <w:ind w:firstLine="0" w:left="720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ab/>
      </w:r>
    </w:p>
    <w:tbl>
      <w:tblPr>
        <w:tblStyle w:val="Style_3"/>
        <w:tblInd w:type="dxa" w:w="-910"/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3357"/>
        <w:gridCol w:w="1703"/>
        <w:gridCol w:w="1820"/>
        <w:gridCol w:w="1481"/>
        <w:gridCol w:w="1903"/>
      </w:tblGrid>
      <w:tr>
        <w:trPr>
          <w:trHeight w:hRule="atLeast" w:val="280"/>
        </w:trPr>
        <w:tc>
          <w:tcPr>
            <w:tcW w:type="dxa" w:w="33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  <w:tl2br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классы</w:t>
            </w:r>
          </w:p>
          <w:p w14:paraId="27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Учебные предметы</w:t>
            </w:r>
          </w:p>
        </w:tc>
        <w:tc>
          <w:tcPr>
            <w:tcW w:type="dxa" w:w="1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>
        <w:trPr>
          <w:trHeight w:hRule="atLeast" w:val="280"/>
        </w:trPr>
        <w:tc>
          <w:tcPr>
            <w:tcW w:type="dxa" w:w="335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2D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2E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Русский язык </w:t>
            </w:r>
          </w:p>
        </w:tc>
        <w:tc>
          <w:tcPr>
            <w:tcW w:type="dxa" w:w="170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контрольное</w:t>
            </w:r>
          </w:p>
          <w:p w14:paraId="3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списывание</w:t>
            </w:r>
          </w:p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диктант с заданием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диктант с заданием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итоговая </w:t>
            </w:r>
          </w:p>
          <w:p w14:paraId="3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диагностическая работа</w:t>
            </w:r>
          </w:p>
        </w:tc>
      </w:tr>
      <w:tr>
        <w:trPr>
          <w:trHeight w:hRule="atLeast" w:val="550"/>
        </w:trPr>
        <w:tc>
          <w:tcPr>
            <w:tcW w:type="dxa" w:w="335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70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</w:tr>
      <w:tr>
        <w:trPr>
          <w:trHeight w:hRule="atLeast" w:val="663"/>
        </w:trPr>
        <w:tc>
          <w:tcPr>
            <w:tcW w:type="dxa" w:w="335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00000">
            <w:pPr>
              <w:rPr>
                <w:rFonts w:ascii="Times New Roman" w:hAnsi="Times New Roman"/>
                <w:sz w:val="24"/>
              </w:rPr>
            </w:pPr>
          </w:p>
          <w:p w14:paraId="39000000">
            <w:pPr>
              <w:rPr>
                <w:rFonts w:ascii="Times New Roman" w:hAnsi="Times New Roman"/>
                <w:sz w:val="24"/>
              </w:rPr>
            </w:pPr>
          </w:p>
          <w:p w14:paraId="3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Литературное чтение </w:t>
            </w:r>
          </w:p>
          <w:p w14:paraId="3B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контрольная </w:t>
            </w:r>
          </w:p>
          <w:p w14:paraId="3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</w:t>
            </w:r>
          </w:p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</w:tr>
      <w:tr>
        <w:trPr>
          <w:trHeight w:hRule="atLeast" w:val="650"/>
        </w:trPr>
        <w:tc>
          <w:tcPr>
            <w:tcW w:type="dxa" w:w="335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70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</w:tr>
      <w:tr>
        <w:trPr>
          <w:trHeight w:hRule="atLeast" w:val="299"/>
        </w:trPr>
        <w:tc>
          <w:tcPr>
            <w:tcW w:type="dxa" w:w="335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00000">
            <w:pPr>
              <w:rPr>
                <w:rFonts w:ascii="Times New Roman" w:hAnsi="Times New Roman"/>
                <w:sz w:val="24"/>
              </w:rPr>
            </w:pPr>
          </w:p>
          <w:p w14:paraId="45000000">
            <w:pPr>
              <w:rPr>
                <w:rFonts w:ascii="Times New Roman" w:hAnsi="Times New Roman"/>
                <w:sz w:val="24"/>
              </w:rPr>
            </w:pPr>
          </w:p>
          <w:p w14:paraId="4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Родной язык</w:t>
            </w:r>
          </w:p>
        </w:tc>
        <w:tc>
          <w:tcPr>
            <w:tcW w:type="dxa" w:w="170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</w:tr>
      <w:tr>
        <w:trPr>
          <w:trHeight w:hRule="atLeast" w:val="299"/>
        </w:trPr>
        <w:tc>
          <w:tcPr>
            <w:tcW w:type="dxa" w:w="335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70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</w:tr>
      <w:tr>
        <w:trPr>
          <w:trHeight w:hRule="atLeast" w:val="243"/>
        </w:trPr>
        <w:tc>
          <w:tcPr>
            <w:tcW w:type="dxa" w:w="335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Литературное чтение на родном языке</w:t>
            </w:r>
          </w:p>
        </w:tc>
        <w:tc>
          <w:tcPr>
            <w:tcW w:type="dxa" w:w="170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</w:tr>
      <w:tr>
        <w:trPr>
          <w:trHeight w:hRule="atLeast" w:val="243"/>
        </w:trPr>
        <w:tc>
          <w:tcPr>
            <w:tcW w:type="dxa" w:w="335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70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</w:tr>
      <w:tr>
        <w:trPr>
          <w:trHeight w:hRule="atLeast" w:val="243"/>
        </w:trPr>
        <w:tc>
          <w:tcPr>
            <w:tcW w:type="dxa" w:w="335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Иностранный язык</w:t>
            </w:r>
          </w:p>
        </w:tc>
        <w:tc>
          <w:tcPr>
            <w:tcW w:type="dxa" w:w="170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</w:tr>
      <w:tr>
        <w:trPr>
          <w:trHeight w:hRule="atLeast" w:val="243"/>
        </w:trPr>
        <w:tc>
          <w:tcPr>
            <w:tcW w:type="dxa" w:w="335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70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</w:tr>
      <w:tr>
        <w:tc>
          <w:tcPr>
            <w:tcW w:type="dxa" w:w="335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Математика</w:t>
            </w:r>
          </w:p>
        </w:tc>
        <w:tc>
          <w:tcPr>
            <w:tcW w:type="dxa" w:w="170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итоговая </w:t>
            </w:r>
          </w:p>
          <w:p w14:paraId="63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диагностическая работа</w:t>
            </w:r>
          </w:p>
        </w:tc>
      </w:tr>
      <w:tr>
        <w:tc>
          <w:tcPr>
            <w:tcW w:type="dxa" w:w="335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70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</w:tr>
      <w:tr>
        <w:tc>
          <w:tcPr>
            <w:tcW w:type="dxa" w:w="335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Окружающий мир</w:t>
            </w:r>
          </w:p>
        </w:tc>
        <w:tc>
          <w:tcPr>
            <w:tcW w:type="dxa" w:w="170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итоговая </w:t>
            </w:r>
          </w:p>
          <w:p w14:paraId="6C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диагностическая работа</w:t>
            </w:r>
          </w:p>
        </w:tc>
      </w:tr>
      <w:tr>
        <w:tc>
          <w:tcPr>
            <w:tcW w:type="dxa" w:w="335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70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</w:tr>
      <w:tr>
        <w:tc>
          <w:tcPr>
            <w:tcW w:type="dxa" w:w="33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Основы религиозных культур и светской этики</w:t>
            </w:r>
          </w:p>
        </w:tc>
        <w:tc>
          <w:tcPr>
            <w:tcW w:type="dxa" w:w="1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зачет</w:t>
            </w:r>
          </w:p>
        </w:tc>
      </w:tr>
      <w:tr>
        <w:tc>
          <w:tcPr>
            <w:tcW w:type="dxa" w:w="335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Музыка</w:t>
            </w:r>
          </w:p>
        </w:tc>
        <w:tc>
          <w:tcPr>
            <w:tcW w:type="dxa" w:w="170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</w:tr>
      <w:tr>
        <w:tc>
          <w:tcPr>
            <w:tcW w:type="dxa" w:w="335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70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</w:tr>
      <w:tr>
        <w:tc>
          <w:tcPr>
            <w:tcW w:type="dxa" w:w="335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Изобразительное искусство</w:t>
            </w:r>
          </w:p>
        </w:tc>
        <w:tc>
          <w:tcPr>
            <w:tcW w:type="dxa" w:w="170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</w:tr>
      <w:tr>
        <w:tc>
          <w:tcPr>
            <w:tcW w:type="dxa" w:w="335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70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</w:tr>
      <w:tr>
        <w:tc>
          <w:tcPr>
            <w:tcW w:type="dxa" w:w="335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Технология</w:t>
            </w:r>
          </w:p>
        </w:tc>
        <w:tc>
          <w:tcPr>
            <w:tcW w:type="dxa" w:w="170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</w:p>
        </w:tc>
      </w:tr>
      <w:tr>
        <w:tc>
          <w:tcPr>
            <w:tcW w:type="dxa" w:w="335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70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</w:tr>
      <w:tr>
        <w:tc>
          <w:tcPr>
            <w:tcW w:type="dxa" w:w="335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Физическая культура</w:t>
            </w:r>
          </w:p>
        </w:tc>
        <w:tc>
          <w:tcPr>
            <w:tcW w:type="dxa" w:w="170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зачет</w:t>
            </w:r>
          </w:p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зачет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0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зачет</w:t>
            </w:r>
          </w:p>
        </w:tc>
      </w:tr>
      <w:tr>
        <w:tc>
          <w:tcPr>
            <w:tcW w:type="dxa" w:w="335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70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type="dxa" w:w="1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годовая оценка</w:t>
            </w:r>
          </w:p>
        </w:tc>
      </w:tr>
    </w:tbl>
    <w:p w14:paraId="95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96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97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98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99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9A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9B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9C000000">
      <w:pPr>
        <w:rPr>
          <w:rStyle w:val="Style_1_ch"/>
          <w:rFonts w:ascii="Times New Roman" w:hAnsi="Times New Roman"/>
          <w:sz w:val="28"/>
        </w:rPr>
      </w:pPr>
    </w:p>
    <w:p w14:paraId="9D000000">
      <w:pPr>
        <w:sectPr>
          <w:pgSz w:h="16838" w:orient="portrait" w:w="11906"/>
          <w:pgMar w:bottom="1134" w:footer="708" w:gutter="0" w:header="708" w:left="1134" w:right="850" w:top="1134"/>
        </w:sectPr>
      </w:pPr>
    </w:p>
    <w:p w14:paraId="9E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УЧЕБНЫЙ ПЛАН</w:t>
      </w:r>
    </w:p>
    <w:p w14:paraId="9F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tbl>
      <w:tblPr>
        <w:tblStyle w:val="Style_4"/>
        <w:tblLayout w:type="fixed"/>
      </w:tblPr>
      <w:tblGrid>
        <w:gridCol w:w="2425"/>
        <w:gridCol w:w="2425"/>
        <w:gridCol w:w="2425"/>
        <w:gridCol w:w="2425"/>
        <w:gridCol w:w="2425"/>
        <w:gridCol w:w="2425"/>
      </w:tblGrid>
      <w:tr>
        <w:tc>
          <w:tcPr>
            <w:tcW w:type="dxa" w:w="2425"/>
            <w:vMerge w:val="restart"/>
            <w:shd w:fill="D9D9D9" w:val="clear"/>
          </w:tcPr>
          <w:p w14:paraId="A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Предметная область</w:t>
            </w:r>
          </w:p>
        </w:tc>
        <w:tc>
          <w:tcPr>
            <w:tcW w:type="dxa" w:w="2425"/>
            <w:vMerge w:val="restart"/>
            <w:shd w:fill="D9D9D9" w:val="clear"/>
          </w:tcPr>
          <w:p w14:paraId="A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Учебный предмет</w:t>
            </w:r>
          </w:p>
        </w:tc>
        <w:tc>
          <w:tcPr>
            <w:tcW w:type="dxa" w:w="9700"/>
            <w:gridSpan w:val="4"/>
            <w:shd w:fill="D9D9D9" w:val="clear"/>
          </w:tcPr>
          <w:p w14:paraId="A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Количество часов в неделю</w:t>
            </w:r>
          </w:p>
        </w:tc>
      </w:tr>
      <w:tr>
        <w:tc>
          <w:tcPr>
            <w:tcW w:type="dxa" w:w="2425"/>
            <w:gridSpan w:val="1"/>
            <w:vMerge w:val="continue"/>
            <w:shd w:fill="D9D9D9" w:val="clear"/>
          </w:tcPr>
          <w:p/>
        </w:tc>
        <w:tc>
          <w:tcPr>
            <w:tcW w:type="dxa" w:w="2425"/>
            <w:gridSpan w:val="1"/>
            <w:vMerge w:val="continue"/>
            <w:shd w:fill="D9D9D9" w:val="clear"/>
          </w:tcPr>
          <w:p/>
        </w:tc>
        <w:tc>
          <w:tcPr>
            <w:tcW w:type="dxa" w:w="2425"/>
            <w:shd w:fill="D9D9D9" w:val="clear"/>
          </w:tcPr>
          <w:p w14:paraId="A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1</w:t>
            </w:r>
          </w:p>
        </w:tc>
        <w:tc>
          <w:tcPr>
            <w:tcW w:type="dxa" w:w="2425"/>
            <w:shd w:fill="D9D9D9" w:val="clear"/>
          </w:tcPr>
          <w:p w14:paraId="A4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2</w:t>
            </w:r>
          </w:p>
        </w:tc>
        <w:tc>
          <w:tcPr>
            <w:tcW w:type="dxa" w:w="2425"/>
            <w:shd w:fill="D9D9D9" w:val="clear"/>
          </w:tcPr>
          <w:p w14:paraId="A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3</w:t>
            </w:r>
          </w:p>
        </w:tc>
        <w:tc>
          <w:tcPr>
            <w:tcW w:type="dxa" w:w="2425"/>
            <w:shd w:fill="D9D9D9" w:val="clear"/>
          </w:tcPr>
          <w:p w14:paraId="A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4</w:t>
            </w:r>
          </w:p>
        </w:tc>
      </w:tr>
      <w:tr>
        <w:tc>
          <w:tcPr>
            <w:tcW w:type="dxa" w:w="14550"/>
            <w:gridSpan w:val="6"/>
            <w:shd w:fill="FFFFB3" w:val="clear"/>
          </w:tcPr>
          <w:p w14:paraId="A7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Обязательная часть</w:t>
            </w:r>
          </w:p>
        </w:tc>
      </w:tr>
      <w:tr>
        <w:tc>
          <w:tcPr>
            <w:tcW w:type="dxa" w:w="2425"/>
            <w:vMerge w:val="restart"/>
          </w:tcPr>
          <w:p w14:paraId="A8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 и литературное чтение</w:t>
            </w:r>
          </w:p>
        </w:tc>
        <w:tc>
          <w:tcPr>
            <w:tcW w:type="dxa" w:w="2425"/>
          </w:tcPr>
          <w:p w14:paraId="A9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type="dxa" w:w="2425"/>
          </w:tcPr>
          <w:p w14:paraId="AA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type="dxa" w:w="2425"/>
          </w:tcPr>
          <w:p w14:paraId="AB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type="dxa" w:w="2425"/>
          </w:tcPr>
          <w:p w14:paraId="AC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type="dxa" w:w="2425"/>
          </w:tcPr>
          <w:p w14:paraId="AD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</w:tr>
      <w:tr>
        <w:tc>
          <w:tcPr>
            <w:tcW w:type="dxa" w:w="2425"/>
            <w:gridSpan w:val="1"/>
            <w:vMerge w:val="continue"/>
          </w:tcPr>
          <w:p/>
        </w:tc>
        <w:tc>
          <w:tcPr>
            <w:tcW w:type="dxa" w:w="2425"/>
          </w:tcPr>
          <w:p w14:paraId="AE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</w:p>
        </w:tc>
        <w:tc>
          <w:tcPr>
            <w:tcW w:type="dxa" w:w="2425"/>
          </w:tcPr>
          <w:p w14:paraId="AF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type="dxa" w:w="2425"/>
          </w:tcPr>
          <w:p w14:paraId="B0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type="dxa" w:w="2425"/>
          </w:tcPr>
          <w:p w14:paraId="B1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type="dxa" w:w="2425"/>
          </w:tcPr>
          <w:p w14:paraId="B2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</w:tr>
      <w:tr>
        <w:tc>
          <w:tcPr>
            <w:tcW w:type="dxa" w:w="2425"/>
            <w:vMerge w:val="restart"/>
          </w:tcPr>
          <w:p w14:paraId="B3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 и литературное чтение на родном языке</w:t>
            </w:r>
          </w:p>
        </w:tc>
        <w:tc>
          <w:tcPr>
            <w:tcW w:type="dxa" w:w="2425"/>
          </w:tcPr>
          <w:p w14:paraId="B4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type="dxa" w:w="2425"/>
          </w:tcPr>
          <w:p w14:paraId="B5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type="dxa" w:w="2425"/>
          </w:tcPr>
          <w:p w14:paraId="B6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type="dxa" w:w="2425"/>
          </w:tcPr>
          <w:p w14:paraId="B7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type="dxa" w:w="2425"/>
          </w:tcPr>
          <w:p w14:paraId="B8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</w:tr>
      <w:tr>
        <w:tc>
          <w:tcPr>
            <w:tcW w:type="dxa" w:w="2425"/>
            <w:gridSpan w:val="1"/>
            <w:vMerge w:val="continue"/>
          </w:tcPr>
          <w:p/>
        </w:tc>
        <w:tc>
          <w:tcPr>
            <w:tcW w:type="dxa" w:w="2425"/>
          </w:tcPr>
          <w:p w14:paraId="B9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 на родном языке</w:t>
            </w:r>
          </w:p>
        </w:tc>
        <w:tc>
          <w:tcPr>
            <w:tcW w:type="dxa" w:w="2425"/>
          </w:tcPr>
          <w:p w14:paraId="BA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type="dxa" w:w="2425"/>
          </w:tcPr>
          <w:p w14:paraId="BB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type="dxa" w:w="2425"/>
          </w:tcPr>
          <w:p w14:paraId="BC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type="dxa" w:w="2425"/>
          </w:tcPr>
          <w:p w14:paraId="BD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>
        <w:tc>
          <w:tcPr>
            <w:tcW w:type="dxa" w:w="2425"/>
          </w:tcPr>
          <w:p w14:paraId="BE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type="dxa" w:w="2425"/>
          </w:tcPr>
          <w:p w14:paraId="BF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type="dxa" w:w="2425"/>
          </w:tcPr>
          <w:p w14:paraId="C0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type="dxa" w:w="2425"/>
          </w:tcPr>
          <w:p w14:paraId="C1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type="dxa" w:w="2425"/>
          </w:tcPr>
          <w:p w14:paraId="C2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type="dxa" w:w="2425"/>
          </w:tcPr>
          <w:p w14:paraId="C3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</w:tr>
      <w:tr>
        <w:tc>
          <w:tcPr>
            <w:tcW w:type="dxa" w:w="2425"/>
          </w:tcPr>
          <w:p w14:paraId="C4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Математика и информатика</w:t>
            </w:r>
          </w:p>
        </w:tc>
        <w:tc>
          <w:tcPr>
            <w:tcW w:type="dxa" w:w="2425"/>
          </w:tcPr>
          <w:p w14:paraId="C5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Математика</w:t>
            </w:r>
          </w:p>
        </w:tc>
        <w:tc>
          <w:tcPr>
            <w:tcW w:type="dxa" w:w="2425"/>
          </w:tcPr>
          <w:p w14:paraId="C6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type="dxa" w:w="2425"/>
          </w:tcPr>
          <w:p w14:paraId="C7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type="dxa" w:w="2425"/>
          </w:tcPr>
          <w:p w14:paraId="C8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type="dxa" w:w="2425"/>
          </w:tcPr>
          <w:p w14:paraId="C9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</w:tr>
      <w:tr>
        <w:tc>
          <w:tcPr>
            <w:tcW w:type="dxa" w:w="2425"/>
          </w:tcPr>
          <w:p w14:paraId="CA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Обществознание и естествознание ("окружающий мир")</w:t>
            </w:r>
          </w:p>
        </w:tc>
        <w:tc>
          <w:tcPr>
            <w:tcW w:type="dxa" w:w="2425"/>
          </w:tcPr>
          <w:p w14:paraId="CB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Окружающий мир</w:t>
            </w:r>
          </w:p>
        </w:tc>
        <w:tc>
          <w:tcPr>
            <w:tcW w:type="dxa" w:w="2425"/>
          </w:tcPr>
          <w:p w14:paraId="CC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type="dxa" w:w="2425"/>
          </w:tcPr>
          <w:p w14:paraId="CD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type="dxa" w:w="2425"/>
          </w:tcPr>
          <w:p w14:paraId="CE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type="dxa" w:w="2425"/>
          </w:tcPr>
          <w:p w14:paraId="CF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</w:tr>
      <w:tr>
        <w:tc>
          <w:tcPr>
            <w:tcW w:type="dxa" w:w="2425"/>
          </w:tcPr>
          <w:p w14:paraId="D0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Основы религиозных культур и светской этики</w:t>
            </w:r>
          </w:p>
        </w:tc>
        <w:tc>
          <w:tcPr>
            <w:tcW w:type="dxa" w:w="2425"/>
          </w:tcPr>
          <w:p w14:paraId="D1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Основы религиозных культур и светской этики</w:t>
            </w:r>
          </w:p>
        </w:tc>
        <w:tc>
          <w:tcPr>
            <w:tcW w:type="dxa" w:w="2425"/>
          </w:tcPr>
          <w:p w14:paraId="D2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type="dxa" w:w="2425"/>
          </w:tcPr>
          <w:p w14:paraId="D3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type="dxa" w:w="2425"/>
          </w:tcPr>
          <w:p w14:paraId="D4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type="dxa" w:w="2425"/>
          </w:tcPr>
          <w:p w14:paraId="D5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>
        <w:tc>
          <w:tcPr>
            <w:tcW w:type="dxa" w:w="2425"/>
            <w:vMerge w:val="restart"/>
          </w:tcPr>
          <w:p w14:paraId="D6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Искусство</w:t>
            </w:r>
          </w:p>
        </w:tc>
        <w:tc>
          <w:tcPr>
            <w:tcW w:type="dxa" w:w="2425"/>
          </w:tcPr>
          <w:p w14:paraId="D7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type="dxa" w:w="2425"/>
          </w:tcPr>
          <w:p w14:paraId="D8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0.5</w:t>
            </w:r>
          </w:p>
        </w:tc>
        <w:tc>
          <w:tcPr>
            <w:tcW w:type="dxa" w:w="2425"/>
          </w:tcPr>
          <w:p w14:paraId="D9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0.5</w:t>
            </w:r>
          </w:p>
        </w:tc>
        <w:tc>
          <w:tcPr>
            <w:tcW w:type="dxa" w:w="2425"/>
          </w:tcPr>
          <w:p w14:paraId="DA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0.5</w:t>
            </w:r>
          </w:p>
        </w:tc>
        <w:tc>
          <w:tcPr>
            <w:tcW w:type="dxa" w:w="2425"/>
          </w:tcPr>
          <w:p w14:paraId="DB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0.5</w:t>
            </w:r>
          </w:p>
        </w:tc>
      </w:tr>
      <w:tr>
        <w:tc>
          <w:tcPr>
            <w:tcW w:type="dxa" w:w="2425"/>
            <w:gridSpan w:val="1"/>
            <w:vMerge w:val="continue"/>
          </w:tcPr>
          <w:p/>
        </w:tc>
        <w:tc>
          <w:tcPr>
            <w:tcW w:type="dxa" w:w="2425"/>
          </w:tcPr>
          <w:p w14:paraId="DC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</w:t>
            </w:r>
          </w:p>
        </w:tc>
        <w:tc>
          <w:tcPr>
            <w:tcW w:type="dxa" w:w="2425"/>
          </w:tcPr>
          <w:p w14:paraId="DD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0.5</w:t>
            </w:r>
          </w:p>
        </w:tc>
        <w:tc>
          <w:tcPr>
            <w:tcW w:type="dxa" w:w="2425"/>
          </w:tcPr>
          <w:p w14:paraId="DE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0.5</w:t>
            </w:r>
          </w:p>
        </w:tc>
        <w:tc>
          <w:tcPr>
            <w:tcW w:type="dxa" w:w="2425"/>
          </w:tcPr>
          <w:p w14:paraId="DF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0.5</w:t>
            </w:r>
          </w:p>
        </w:tc>
        <w:tc>
          <w:tcPr>
            <w:tcW w:type="dxa" w:w="2425"/>
          </w:tcPr>
          <w:p w14:paraId="E0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0.5</w:t>
            </w:r>
          </w:p>
        </w:tc>
      </w:tr>
      <w:tr>
        <w:tc>
          <w:tcPr>
            <w:tcW w:type="dxa" w:w="2425"/>
          </w:tcPr>
          <w:p w14:paraId="E1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Технология</w:t>
            </w:r>
          </w:p>
        </w:tc>
        <w:tc>
          <w:tcPr>
            <w:tcW w:type="dxa" w:w="2425"/>
          </w:tcPr>
          <w:p w14:paraId="E2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Технология</w:t>
            </w:r>
          </w:p>
        </w:tc>
        <w:tc>
          <w:tcPr>
            <w:tcW w:type="dxa" w:w="2425"/>
          </w:tcPr>
          <w:p w14:paraId="E3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type="dxa" w:w="2425"/>
          </w:tcPr>
          <w:p w14:paraId="E4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type="dxa" w:w="2425"/>
          </w:tcPr>
          <w:p w14:paraId="E5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type="dxa" w:w="2425"/>
          </w:tcPr>
          <w:p w14:paraId="E6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>
        <w:tc>
          <w:tcPr>
            <w:tcW w:type="dxa" w:w="2425"/>
          </w:tcPr>
          <w:p w14:paraId="E7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Физическая культура</w:t>
            </w:r>
          </w:p>
        </w:tc>
        <w:tc>
          <w:tcPr>
            <w:tcW w:type="dxa" w:w="2425"/>
          </w:tcPr>
          <w:p w14:paraId="E8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Физическая культура</w:t>
            </w:r>
          </w:p>
        </w:tc>
        <w:tc>
          <w:tcPr>
            <w:tcW w:type="dxa" w:w="2425"/>
          </w:tcPr>
          <w:p w14:paraId="E9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type="dxa" w:w="2425"/>
          </w:tcPr>
          <w:p w14:paraId="EA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type="dxa" w:w="2425"/>
          </w:tcPr>
          <w:p w14:paraId="EB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type="dxa" w:w="2425"/>
          </w:tcPr>
          <w:p w14:paraId="EC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</w:tr>
      <w:tr>
        <w:tc>
          <w:tcPr>
            <w:tcW w:type="dxa" w:w="4850"/>
            <w:gridSpan w:val="2"/>
            <w:shd w:fill="00FF00" w:val="clear"/>
          </w:tcPr>
          <w:p w14:paraId="ED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Итого</w:t>
            </w:r>
          </w:p>
        </w:tc>
        <w:tc>
          <w:tcPr>
            <w:tcW w:type="dxa" w:w="2425"/>
            <w:shd w:fill="00FF00" w:val="clear"/>
          </w:tcPr>
          <w:p w14:paraId="EE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21</w:t>
            </w:r>
          </w:p>
        </w:tc>
        <w:tc>
          <w:tcPr>
            <w:tcW w:type="dxa" w:w="2425"/>
            <w:shd w:fill="00FF00" w:val="clear"/>
          </w:tcPr>
          <w:p w14:paraId="EF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24</w:t>
            </w:r>
          </w:p>
        </w:tc>
        <w:tc>
          <w:tcPr>
            <w:tcW w:type="dxa" w:w="2425"/>
            <w:shd w:fill="00FF00" w:val="clear"/>
          </w:tcPr>
          <w:p w14:paraId="F0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24</w:t>
            </w:r>
          </w:p>
        </w:tc>
        <w:tc>
          <w:tcPr>
            <w:tcW w:type="dxa" w:w="2425"/>
            <w:shd w:fill="00FF00" w:val="clear"/>
          </w:tcPr>
          <w:p w14:paraId="F1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25</w:t>
            </w:r>
          </w:p>
        </w:tc>
      </w:tr>
      <w:tr>
        <w:tc>
          <w:tcPr>
            <w:tcW w:type="dxa" w:w="14550"/>
            <w:gridSpan w:val="6"/>
            <w:shd w:fill="FFFFB3" w:val="clear"/>
          </w:tcPr>
          <w:p w14:paraId="F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Часть, формируемая участниками образовательных отношений</w:t>
            </w:r>
          </w:p>
        </w:tc>
      </w:tr>
      <w:tr>
        <w:tc>
          <w:tcPr>
            <w:tcW w:type="dxa" w:w="4850"/>
            <w:gridSpan w:val="2"/>
            <w:shd w:fill="D9D9D9" w:val="clear"/>
          </w:tcPr>
          <w:p w14:paraId="F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Наименование учебного курса</w:t>
            </w:r>
          </w:p>
        </w:tc>
        <w:tc>
          <w:tcPr>
            <w:tcW w:type="dxa" w:w="2425"/>
            <w:shd w:fill="D9D9D9" w:val="clear"/>
          </w:tcPr>
          <w:p w14:paraId="F4000000">
            <w:pPr>
              <w:rPr>
                <w:rFonts w:ascii="Times New Roman" w:hAnsi="Times New Roman"/>
              </w:rPr>
            </w:pPr>
          </w:p>
        </w:tc>
        <w:tc>
          <w:tcPr>
            <w:tcW w:type="dxa" w:w="2425"/>
            <w:shd w:fill="D9D9D9" w:val="clear"/>
          </w:tcPr>
          <w:p w14:paraId="F5000000">
            <w:pPr>
              <w:rPr>
                <w:rFonts w:ascii="Times New Roman" w:hAnsi="Times New Roman"/>
              </w:rPr>
            </w:pPr>
          </w:p>
        </w:tc>
        <w:tc>
          <w:tcPr>
            <w:tcW w:type="dxa" w:w="2425"/>
            <w:shd w:fill="D9D9D9" w:val="clear"/>
          </w:tcPr>
          <w:p w14:paraId="F6000000">
            <w:pPr>
              <w:rPr>
                <w:rFonts w:ascii="Times New Roman" w:hAnsi="Times New Roman"/>
              </w:rPr>
            </w:pPr>
          </w:p>
        </w:tc>
        <w:tc>
          <w:tcPr>
            <w:tcW w:type="dxa" w:w="2425"/>
            <w:shd w:fill="D9D9D9" w:val="clear"/>
          </w:tcPr>
          <w:p w14:paraId="F700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4850"/>
            <w:gridSpan w:val="2"/>
          </w:tcPr>
          <w:p w14:paraId="F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мире музыки</w:t>
            </w:r>
          </w:p>
        </w:tc>
        <w:tc>
          <w:tcPr>
            <w:tcW w:type="dxa" w:w="2425"/>
          </w:tcPr>
          <w:p w14:paraId="F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425"/>
          </w:tcPr>
          <w:p w14:paraId="F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  <w:tc>
          <w:tcPr>
            <w:tcW w:type="dxa" w:w="2425"/>
          </w:tcPr>
          <w:p w14:paraId="F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  <w:tc>
          <w:tcPr>
            <w:tcW w:type="dxa" w:w="2425"/>
          </w:tcPr>
          <w:p w14:paraId="FC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</w:tr>
      <w:tr>
        <w:tc>
          <w:tcPr>
            <w:tcW w:type="dxa" w:w="4850"/>
            <w:gridSpan w:val="2"/>
          </w:tcPr>
          <w:p w14:paraId="F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Волшебная кисточка</w:t>
            </w:r>
          </w:p>
        </w:tc>
        <w:tc>
          <w:tcPr>
            <w:tcW w:type="dxa" w:w="2425"/>
          </w:tcPr>
          <w:p w14:paraId="F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425"/>
          </w:tcPr>
          <w:p w14:paraId="F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  <w:tc>
          <w:tcPr>
            <w:tcW w:type="dxa" w:w="2425"/>
          </w:tcPr>
          <w:p w14:paraId="00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  <w:tc>
          <w:tcPr>
            <w:tcW w:type="dxa" w:w="2425"/>
          </w:tcPr>
          <w:p w14:paraId="01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</w:tr>
      <w:tr>
        <w:tc>
          <w:tcPr>
            <w:tcW w:type="dxa" w:w="4850"/>
            <w:gridSpan w:val="2"/>
          </w:tcPr>
          <w:p w14:paraId="02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Подвижные игры</w:t>
            </w:r>
          </w:p>
        </w:tc>
        <w:tc>
          <w:tcPr>
            <w:tcW w:type="dxa" w:w="2425"/>
          </w:tcPr>
          <w:p w14:paraId="03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425"/>
          </w:tcPr>
          <w:p w14:paraId="04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0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06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4850"/>
            <w:gridSpan w:val="2"/>
            <w:shd w:fill="00FF00" w:val="clear"/>
          </w:tcPr>
          <w:p w14:paraId="0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</w:t>
            </w:r>
          </w:p>
        </w:tc>
        <w:tc>
          <w:tcPr>
            <w:tcW w:type="dxa" w:w="2425"/>
            <w:shd w:fill="00FF00" w:val="clear"/>
          </w:tcPr>
          <w:p w14:paraId="0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425"/>
            <w:shd w:fill="00FF00" w:val="clear"/>
          </w:tcPr>
          <w:p w14:paraId="0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425"/>
            <w:shd w:fill="00FF00" w:val="clear"/>
          </w:tcPr>
          <w:p w14:paraId="0A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425"/>
            <w:shd w:fill="00FF00" w:val="clear"/>
          </w:tcPr>
          <w:p w14:paraId="0B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4850"/>
            <w:gridSpan w:val="2"/>
            <w:shd w:fill="00FF00" w:val="clear"/>
          </w:tcPr>
          <w:p w14:paraId="0C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 недельная нагрузка</w:t>
            </w:r>
          </w:p>
        </w:tc>
        <w:tc>
          <w:tcPr>
            <w:tcW w:type="dxa" w:w="2425"/>
            <w:shd w:fill="00FF00" w:val="clear"/>
          </w:tcPr>
          <w:p w14:paraId="0D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type="dxa" w:w="2425"/>
            <w:shd w:fill="00FF00" w:val="clear"/>
          </w:tcPr>
          <w:p w14:paraId="0E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type="dxa" w:w="2425"/>
            <w:shd w:fill="00FF00" w:val="clear"/>
          </w:tcPr>
          <w:p w14:paraId="0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type="dxa" w:w="2425"/>
            <w:shd w:fill="00FF00" w:val="clear"/>
          </w:tcPr>
          <w:p w14:paraId="10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</w:tr>
      <w:tr>
        <w:tc>
          <w:tcPr>
            <w:tcW w:type="dxa" w:w="4850"/>
            <w:gridSpan w:val="2"/>
            <w:shd w:fill="FCE3FC" w:val="clear"/>
          </w:tcPr>
          <w:p w14:paraId="11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учебных недель</w:t>
            </w:r>
          </w:p>
        </w:tc>
        <w:tc>
          <w:tcPr>
            <w:tcW w:type="dxa" w:w="2425"/>
            <w:shd w:fill="FCE3FC" w:val="clear"/>
          </w:tcPr>
          <w:p w14:paraId="1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type="dxa" w:w="2425"/>
            <w:shd w:fill="FCE3FC" w:val="clear"/>
          </w:tcPr>
          <w:p w14:paraId="13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type="dxa" w:w="2425"/>
            <w:shd w:fill="FCE3FC" w:val="clear"/>
          </w:tcPr>
          <w:p w14:paraId="14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type="dxa" w:w="2425"/>
            <w:shd w:fill="FCE3FC" w:val="clear"/>
          </w:tcPr>
          <w:p w14:paraId="1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</w:tr>
      <w:tr>
        <w:tc>
          <w:tcPr>
            <w:tcW w:type="dxa" w:w="4850"/>
            <w:gridSpan w:val="2"/>
            <w:shd w:fill="FCE3FC" w:val="clear"/>
          </w:tcPr>
          <w:p w14:paraId="1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часов в год</w:t>
            </w:r>
          </w:p>
        </w:tc>
        <w:tc>
          <w:tcPr>
            <w:tcW w:type="dxa" w:w="2425"/>
            <w:shd w:fill="FCE3FC" w:val="clear"/>
          </w:tcPr>
          <w:p w14:paraId="17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693</w:t>
            </w:r>
          </w:p>
        </w:tc>
        <w:tc>
          <w:tcPr>
            <w:tcW w:type="dxa" w:w="2425"/>
            <w:shd w:fill="FCE3FC" w:val="clear"/>
          </w:tcPr>
          <w:p w14:paraId="1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884</w:t>
            </w:r>
          </w:p>
        </w:tc>
        <w:tc>
          <w:tcPr>
            <w:tcW w:type="dxa" w:w="2425"/>
            <w:shd w:fill="FCE3FC" w:val="clear"/>
          </w:tcPr>
          <w:p w14:paraId="1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884</w:t>
            </w:r>
          </w:p>
        </w:tc>
        <w:tc>
          <w:tcPr>
            <w:tcW w:type="dxa" w:w="2425"/>
            <w:shd w:fill="FCE3FC" w:val="clear"/>
          </w:tcPr>
          <w:p w14:paraId="1A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884</w:t>
            </w:r>
          </w:p>
        </w:tc>
      </w:tr>
    </w:tbl>
    <w:p w14:paraId="1B010000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1C010000">
      <w:pPr>
        <w:rPr>
          <w:rFonts w:ascii="Times New Roman" w:hAnsi="Times New Roman"/>
        </w:rPr>
      </w:pPr>
      <w:r>
        <w:rPr>
          <w:rFonts w:ascii="Times New Roman" w:hAnsi="Times New Roman"/>
          <w:b w:val="1"/>
          <w:sz w:val="32"/>
        </w:rPr>
        <w:t>План внеурочной деятельности (недельный)</w:t>
      </w:r>
    </w:p>
    <w:p w14:paraId="1D010000">
      <w:pPr>
        <w:rPr>
          <w:rFonts w:ascii="Times New Roman" w:hAnsi="Times New Roman"/>
        </w:rPr>
      </w:pPr>
      <w:r>
        <w:rPr>
          <w:rFonts w:ascii="Times New Roman" w:hAnsi="Times New Roman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</w:p>
    <w:tbl>
      <w:tblPr>
        <w:tblStyle w:val="Style_4"/>
        <w:tblLayout w:type="fixed"/>
      </w:tblPr>
      <w:tblGrid>
        <w:gridCol w:w="2425"/>
        <w:gridCol w:w="2425"/>
        <w:gridCol w:w="2425"/>
        <w:gridCol w:w="2425"/>
        <w:gridCol w:w="2425"/>
        <w:gridCol w:w="2425"/>
      </w:tblGrid>
      <w:tr>
        <w:tc>
          <w:tcPr>
            <w:tcW w:type="dxa" w:w="4850"/>
            <w:gridSpan w:val="2"/>
            <w:vMerge w:val="restart"/>
            <w:shd w:fill="D9D9D9" w:val="clear"/>
          </w:tcPr>
          <w:p w14:paraId="1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Учебные курсы</w:t>
            </w:r>
          </w:p>
          <w:p w14:paraId="1F010000">
            <w:pPr>
              <w:rPr>
                <w:rFonts w:ascii="Times New Roman" w:hAnsi="Times New Roman"/>
              </w:rPr>
            </w:pPr>
          </w:p>
        </w:tc>
        <w:tc>
          <w:tcPr>
            <w:tcW w:type="dxa" w:w="9700"/>
            <w:gridSpan w:val="4"/>
            <w:shd w:fill="D9D9D9" w:val="clear"/>
          </w:tcPr>
          <w:p w14:paraId="20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Количество часов в неделю</w:t>
            </w:r>
          </w:p>
        </w:tc>
      </w:tr>
      <w:tr>
        <w:tc>
          <w:tcPr>
            <w:tcW w:type="dxa" w:w="4850"/>
            <w:gridSpan w:val="2"/>
            <w:vMerge w:val="continue"/>
            <w:shd w:fill="D9D9D9" w:val="clear"/>
          </w:tcPr>
          <w:p/>
        </w:tc>
        <w:tc>
          <w:tcPr>
            <w:tcW w:type="dxa" w:w="2425"/>
            <w:shd w:fill="D9D9D9" w:val="clear"/>
          </w:tcPr>
          <w:p w14:paraId="21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1</w:t>
            </w:r>
          </w:p>
        </w:tc>
        <w:tc>
          <w:tcPr>
            <w:tcW w:type="dxa" w:w="2425"/>
            <w:shd w:fill="D9D9D9" w:val="clear"/>
          </w:tcPr>
          <w:p w14:paraId="2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2</w:t>
            </w:r>
          </w:p>
        </w:tc>
        <w:tc>
          <w:tcPr>
            <w:tcW w:type="dxa" w:w="2425"/>
            <w:shd w:fill="D9D9D9" w:val="clear"/>
          </w:tcPr>
          <w:p w14:paraId="23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3</w:t>
            </w:r>
          </w:p>
        </w:tc>
        <w:tc>
          <w:tcPr>
            <w:tcW w:type="dxa" w:w="2425"/>
            <w:shd w:fill="D9D9D9" w:val="clear"/>
          </w:tcPr>
          <w:p w14:paraId="24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4</w:t>
            </w:r>
          </w:p>
        </w:tc>
      </w:tr>
      <w:tr>
        <w:tc>
          <w:tcPr>
            <w:tcW w:type="dxa" w:w="4850"/>
            <w:gridSpan w:val="2"/>
          </w:tcPr>
          <w:p w14:paraId="25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Разговор о важном</w:t>
            </w:r>
          </w:p>
        </w:tc>
        <w:tc>
          <w:tcPr>
            <w:tcW w:type="dxa" w:w="2425"/>
          </w:tcPr>
          <w:p w14:paraId="26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27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2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2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4850"/>
            <w:gridSpan w:val="2"/>
          </w:tcPr>
          <w:p w14:paraId="2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Функциональная грамотность</w:t>
            </w:r>
          </w:p>
        </w:tc>
        <w:tc>
          <w:tcPr>
            <w:tcW w:type="dxa" w:w="2425"/>
          </w:tcPr>
          <w:p w14:paraId="2B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2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2D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2E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4850"/>
            <w:gridSpan w:val="2"/>
          </w:tcPr>
          <w:p w14:paraId="2F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профессий</w:t>
            </w:r>
          </w:p>
        </w:tc>
        <w:tc>
          <w:tcPr>
            <w:tcW w:type="dxa" w:w="2425"/>
          </w:tcPr>
          <w:p w14:paraId="30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31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3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33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4850"/>
            <w:gridSpan w:val="2"/>
          </w:tcPr>
          <w:p w14:paraId="3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Азбука здоровья</w:t>
            </w:r>
          </w:p>
        </w:tc>
        <w:tc>
          <w:tcPr>
            <w:tcW w:type="dxa" w:w="2425"/>
          </w:tcPr>
          <w:p w14:paraId="3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425"/>
          </w:tcPr>
          <w:p w14:paraId="36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37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3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4850"/>
            <w:gridSpan w:val="2"/>
          </w:tcPr>
          <w:p w14:paraId="39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Музейные уроки</w:t>
            </w:r>
          </w:p>
        </w:tc>
        <w:tc>
          <w:tcPr>
            <w:tcW w:type="dxa" w:w="2425"/>
          </w:tcPr>
          <w:p w14:paraId="3A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425"/>
          </w:tcPr>
          <w:p w14:paraId="3B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3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3D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4850"/>
            <w:gridSpan w:val="2"/>
          </w:tcPr>
          <w:p w14:paraId="3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Увлекательный язык</w:t>
            </w:r>
          </w:p>
        </w:tc>
        <w:tc>
          <w:tcPr>
            <w:tcW w:type="dxa" w:w="2425"/>
          </w:tcPr>
          <w:p w14:paraId="3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40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425"/>
          </w:tcPr>
          <w:p w14:paraId="41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425"/>
          </w:tcPr>
          <w:p w14:paraId="4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4850"/>
            <w:gridSpan w:val="2"/>
          </w:tcPr>
          <w:p w14:paraId="4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Подвижные игры</w:t>
            </w:r>
          </w:p>
        </w:tc>
        <w:tc>
          <w:tcPr>
            <w:tcW w:type="dxa" w:w="2425"/>
          </w:tcPr>
          <w:p w14:paraId="44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425"/>
          </w:tcPr>
          <w:p w14:paraId="4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425"/>
          </w:tcPr>
          <w:p w14:paraId="46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425"/>
          </w:tcPr>
          <w:p w14:paraId="47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4850"/>
            <w:gridSpan w:val="2"/>
            <w:shd w:fill="00FF00" w:val="clear"/>
          </w:tcPr>
          <w:p w14:paraId="48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 недельная нагрузка</w:t>
            </w:r>
          </w:p>
        </w:tc>
        <w:tc>
          <w:tcPr>
            <w:tcW w:type="dxa" w:w="2425"/>
            <w:shd w:fill="00FF00" w:val="clear"/>
          </w:tcPr>
          <w:p w14:paraId="4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2425"/>
            <w:shd w:fill="00FF00" w:val="clear"/>
          </w:tcPr>
          <w:p w14:paraId="4A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2425"/>
            <w:shd w:fill="00FF00" w:val="clear"/>
          </w:tcPr>
          <w:p w14:paraId="4B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2425"/>
            <w:shd w:fill="00FF00" w:val="clear"/>
          </w:tcPr>
          <w:p w14:paraId="4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</w:tbl>
    <w:p w14:paraId="4D010000">
      <w:pPr>
        <w:rPr>
          <w:rFonts w:ascii="Times New Roman" w:hAnsi="Times New Roman"/>
        </w:rPr>
      </w:pPr>
    </w:p>
    <w:sectPr>
      <w:pgSz w:h="11900" w:orient="landscape" w:w="16820"/>
      <w:pgMar w:bottom="1134" w:footer="708" w:gutter="0" w:header="708" w:left="1134" w:right="1134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"/>
      <w:lvlJc w:val="left"/>
      <w:pPr>
        <w:ind w:hanging="360" w:left="128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2007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727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447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167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887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607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327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047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"/>
      <w:lvlJc w:val="left"/>
      <w:pPr>
        <w:ind w:hanging="360" w:left="128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2007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727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447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167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887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607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327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047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</w:style>
  <w:style w:default="1" w:styleId="Style_5_ch" w:type="character">
    <w:name w:val="Normal"/>
    <w:link w:val="Style_5"/>
  </w:style>
  <w:style w:styleId="Style_6" w:type="paragraph">
    <w:name w:val="toc 2"/>
    <w:next w:val="Style_5"/>
    <w:link w:val="Style_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toc 4"/>
    <w:next w:val="Style_5"/>
    <w:link w:val="Style_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5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5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heading 3"/>
    <w:basedOn w:val="Style_5"/>
    <w:link w:val="Style_10_ch"/>
    <w:uiPriority w:val="9"/>
    <w:qFormat/>
    <w:pPr>
      <w:spacing w:afterAutospacing="on" w:beforeAutospacing="on" w:line="240" w:lineRule="auto"/>
      <w:ind/>
      <w:outlineLvl w:val="2"/>
    </w:pPr>
    <w:rPr>
      <w:rFonts w:ascii="Times New Roman" w:hAnsi="Times New Roman"/>
      <w:b w:val="1"/>
      <w:sz w:val="27"/>
    </w:rPr>
  </w:style>
  <w:style w:styleId="Style_10_ch" w:type="character">
    <w:name w:val="heading 3"/>
    <w:basedOn w:val="Style_5_ch"/>
    <w:link w:val="Style_10"/>
    <w:rPr>
      <w:rFonts w:ascii="Times New Roman" w:hAnsi="Times New Roman"/>
      <w:b w:val="1"/>
      <w:sz w:val="27"/>
    </w:rPr>
  </w:style>
  <w:style w:styleId="Style_11" w:type="paragraph">
    <w:name w:val="Default Paragraph Font"/>
    <w:link w:val="Style_11_ch"/>
  </w:style>
  <w:style w:styleId="Style_11_ch" w:type="character">
    <w:name w:val="Default Paragraph Font"/>
    <w:link w:val="Style_11"/>
  </w:style>
  <w:style w:styleId="Style_12" w:type="paragraph">
    <w:name w:val="toc 3"/>
    <w:next w:val="Style_5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5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Balloon Text"/>
    <w:basedOn w:val="Style_5"/>
    <w:link w:val="Style_14_ch"/>
    <w:pPr>
      <w:spacing w:after="0" w:line="240" w:lineRule="auto"/>
      <w:ind/>
    </w:pPr>
    <w:rPr>
      <w:rFonts w:ascii="Segoe UI" w:hAnsi="Segoe UI"/>
      <w:sz w:val="18"/>
    </w:rPr>
  </w:style>
  <w:style w:styleId="Style_14_ch" w:type="character">
    <w:name w:val="Balloon Text"/>
    <w:basedOn w:val="Style_5_ch"/>
    <w:link w:val="Style_14"/>
    <w:rPr>
      <w:rFonts w:ascii="Segoe UI" w:hAnsi="Segoe UI"/>
      <w:sz w:val="18"/>
    </w:rPr>
  </w:style>
  <w:style w:styleId="Style_15" w:type="paragraph">
    <w:name w:val="heading 1"/>
    <w:next w:val="Style_5"/>
    <w:link w:val="Style_15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5_ch" w:type="character">
    <w:name w:val="heading 1"/>
    <w:link w:val="Style_15"/>
    <w:rPr>
      <w:rFonts w:ascii="XO Thames" w:hAnsi="XO Thames"/>
      <w:b w:val="1"/>
      <w:sz w:val="32"/>
    </w:rPr>
  </w:style>
  <w:style w:styleId="Style_16" w:type="paragraph">
    <w:name w:val="annotation reference"/>
    <w:basedOn w:val="Style_11"/>
    <w:link w:val="Style_16_ch"/>
    <w:rPr>
      <w:sz w:val="16"/>
    </w:rPr>
  </w:style>
  <w:style w:styleId="Style_16_ch" w:type="character">
    <w:name w:val="annotation reference"/>
    <w:basedOn w:val="Style_11_ch"/>
    <w:link w:val="Style_16"/>
    <w:rPr>
      <w:sz w:val="16"/>
    </w:rPr>
  </w:style>
  <w:style w:styleId="Style_17" w:type="paragraph">
    <w:name w:val="Hyperlink"/>
    <w:link w:val="Style_17_ch"/>
    <w:rPr>
      <w:color w:val="0000FF"/>
      <w:u w:val="single"/>
    </w:rPr>
  </w:style>
  <w:style w:styleId="Style_17_ch" w:type="character">
    <w:name w:val="Hyperlink"/>
    <w:link w:val="Style_17"/>
    <w:rPr>
      <w:color w:val="0000FF"/>
      <w:u w:val="single"/>
    </w:rPr>
  </w:style>
  <w:style w:styleId="Style_18" w:type="paragraph">
    <w:name w:val="Footnote"/>
    <w:link w:val="Style_18_ch"/>
    <w:pPr>
      <w:ind w:firstLine="851" w:left="0"/>
      <w:jc w:val="both"/>
    </w:pPr>
    <w:rPr>
      <w:rFonts w:ascii="XO Thames" w:hAnsi="XO Thames"/>
      <w:sz w:val="22"/>
    </w:rPr>
  </w:style>
  <w:style w:styleId="Style_18_ch" w:type="character">
    <w:name w:val="Footnote"/>
    <w:link w:val="Style_18"/>
    <w:rPr>
      <w:rFonts w:ascii="XO Thames" w:hAnsi="XO Thames"/>
      <w:sz w:val="22"/>
    </w:rPr>
  </w:style>
  <w:style w:styleId="Style_19" w:type="paragraph">
    <w:name w:val="annotation subject"/>
    <w:basedOn w:val="Style_20"/>
    <w:next w:val="Style_20"/>
    <w:link w:val="Style_19_ch"/>
    <w:rPr>
      <w:b w:val="1"/>
    </w:rPr>
  </w:style>
  <w:style w:styleId="Style_19_ch" w:type="character">
    <w:name w:val="annotation subject"/>
    <w:basedOn w:val="Style_20_ch"/>
    <w:link w:val="Style_19"/>
    <w:rPr>
      <w:b w:val="1"/>
    </w:rPr>
  </w:style>
  <w:style w:styleId="Style_21" w:type="paragraph">
    <w:name w:val="toc 1"/>
    <w:next w:val="Style_5"/>
    <w:link w:val="Style_21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1_ch" w:type="character">
    <w:name w:val="toc 1"/>
    <w:link w:val="Style_21"/>
    <w:rPr>
      <w:rFonts w:ascii="XO Thames" w:hAnsi="XO Thames"/>
      <w:b w:val="1"/>
      <w:sz w:val="28"/>
    </w:rPr>
  </w:style>
  <w:style w:styleId="Style_22" w:type="paragraph">
    <w:name w:val="Header and Footer"/>
    <w:link w:val="Style_22_ch"/>
    <w:pPr>
      <w:spacing w:line="240" w:lineRule="auto"/>
      <w:ind/>
      <w:jc w:val="both"/>
    </w:pPr>
    <w:rPr>
      <w:rFonts w:ascii="XO Thames" w:hAnsi="XO Thames"/>
      <w:sz w:val="20"/>
    </w:rPr>
  </w:style>
  <w:style w:styleId="Style_22_ch" w:type="character">
    <w:name w:val="Header and Footer"/>
    <w:link w:val="Style_22"/>
    <w:rPr>
      <w:rFonts w:ascii="XO Thames" w:hAnsi="XO Thames"/>
      <w:sz w:val="20"/>
    </w:rPr>
  </w:style>
  <w:style w:styleId="Style_23" w:type="paragraph">
    <w:name w:val="toc 9"/>
    <w:next w:val="Style_5"/>
    <w:link w:val="Style_23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3_ch" w:type="character">
    <w:name w:val="toc 9"/>
    <w:link w:val="Style_23"/>
    <w:rPr>
      <w:rFonts w:ascii="XO Thames" w:hAnsi="XO Thames"/>
      <w:sz w:val="28"/>
    </w:rPr>
  </w:style>
  <w:style w:styleId="Style_24" w:type="paragraph">
    <w:name w:val="toc 8"/>
    <w:next w:val="Style_5"/>
    <w:link w:val="Style_24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4_ch" w:type="character">
    <w:name w:val="toc 8"/>
    <w:link w:val="Style_24"/>
    <w:rPr>
      <w:rFonts w:ascii="XO Thames" w:hAnsi="XO Thames"/>
      <w:sz w:val="28"/>
    </w:rPr>
  </w:style>
  <w:style w:styleId="Style_25" w:type="paragraph">
    <w:name w:val="toc 5"/>
    <w:next w:val="Style_5"/>
    <w:link w:val="Style_25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5_ch" w:type="character">
    <w:name w:val="toc 5"/>
    <w:link w:val="Style_25"/>
    <w:rPr>
      <w:rFonts w:ascii="XO Thames" w:hAnsi="XO Thames"/>
      <w:sz w:val="28"/>
    </w:rPr>
  </w:style>
  <w:style w:styleId="Style_26" w:type="paragraph">
    <w:name w:val="Subtitle"/>
    <w:next w:val="Style_5"/>
    <w:link w:val="Style_26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6_ch" w:type="character">
    <w:name w:val="Subtitle"/>
    <w:link w:val="Style_26"/>
    <w:rPr>
      <w:rFonts w:ascii="XO Thames" w:hAnsi="XO Thames"/>
      <w:i w:val="1"/>
      <w:sz w:val="24"/>
    </w:rPr>
  </w:style>
  <w:style w:styleId="Style_27" w:type="paragraph">
    <w:name w:val="toc 10"/>
    <w:next w:val="Style_5"/>
    <w:link w:val="Style_27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7_ch" w:type="character">
    <w:name w:val="toc 10"/>
    <w:link w:val="Style_27"/>
    <w:rPr>
      <w:rFonts w:ascii="XO Thames" w:hAnsi="XO Thames"/>
      <w:sz w:val="28"/>
    </w:rPr>
  </w:style>
  <w:style w:styleId="Style_28" w:type="paragraph">
    <w:name w:val="Title"/>
    <w:next w:val="Style_5"/>
    <w:link w:val="Style_28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8_ch" w:type="character">
    <w:name w:val="Title"/>
    <w:link w:val="Style_28"/>
    <w:rPr>
      <w:rFonts w:ascii="XO Thames" w:hAnsi="XO Thames"/>
      <w:b w:val="1"/>
      <w:caps w:val="1"/>
      <w:sz w:val="40"/>
    </w:rPr>
  </w:style>
  <w:style w:styleId="Style_29" w:type="paragraph">
    <w:name w:val="heading 4"/>
    <w:next w:val="Style_5"/>
    <w:link w:val="Style_2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9_ch" w:type="character">
    <w:name w:val="heading 4"/>
    <w:link w:val="Style_29"/>
    <w:rPr>
      <w:rFonts w:ascii="XO Thames" w:hAnsi="XO Thames"/>
      <w:b w:val="1"/>
      <w:sz w:val="24"/>
    </w:rPr>
  </w:style>
  <w:style w:styleId="Style_20" w:type="paragraph">
    <w:name w:val="annotation text"/>
    <w:basedOn w:val="Style_5"/>
    <w:link w:val="Style_20_ch"/>
    <w:pPr>
      <w:spacing w:line="240" w:lineRule="auto"/>
      <w:ind/>
    </w:pPr>
    <w:rPr>
      <w:sz w:val="20"/>
    </w:rPr>
  </w:style>
  <w:style w:styleId="Style_20_ch" w:type="character">
    <w:name w:val="annotation text"/>
    <w:basedOn w:val="Style_5_ch"/>
    <w:link w:val="Style_20"/>
    <w:rPr>
      <w:sz w:val="20"/>
    </w:rPr>
  </w:style>
  <w:style w:styleId="Style_2" w:type="paragraph">
    <w:name w:val="List Paragraph"/>
    <w:basedOn w:val="Style_5"/>
    <w:link w:val="Style_2_ch"/>
    <w:pPr>
      <w:ind w:firstLine="0" w:left="720"/>
      <w:contextualSpacing w:val="1"/>
    </w:pPr>
  </w:style>
  <w:style w:styleId="Style_2_ch" w:type="character">
    <w:name w:val="List Paragraph"/>
    <w:basedOn w:val="Style_5_ch"/>
    <w:link w:val="Style_2"/>
  </w:style>
  <w:style w:styleId="Style_1" w:type="paragraph">
    <w:name w:val="markedcontent"/>
    <w:basedOn w:val="Style_11"/>
    <w:link w:val="Style_1_ch"/>
  </w:style>
  <w:style w:styleId="Style_1_ch" w:type="character">
    <w:name w:val="markedcontent"/>
    <w:basedOn w:val="Style_11_ch"/>
    <w:link w:val="Style_1"/>
  </w:style>
  <w:style w:styleId="Style_30" w:type="paragraph">
    <w:name w:val="heading 2"/>
    <w:next w:val="Style_5"/>
    <w:link w:val="Style_30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0_ch" w:type="character">
    <w:name w:val="heading 2"/>
    <w:link w:val="Style_30"/>
    <w:rPr>
      <w:rFonts w:ascii="XO Thames" w:hAnsi="XO Thames"/>
      <w:b w:val="1"/>
      <w:sz w:val="28"/>
    </w:rPr>
  </w:style>
  <w:style w:default="1" w:styleId="Style_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4" w:type="table">
    <w:name w:val="Table Grid"/>
    <w:basedOn w:val="Style_3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2023-09-08T07:14:29Z</dcterms:modified>
</cp:coreProperties>
</file>