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rFonts w:ascii="Times New Roman" w:hAnsi="Times New Roman"/>
          <w:sz w:val="28"/>
        </w:rPr>
      </w:pPr>
      <w:r>
        <w:drawing>
          <wp:inline>
            <wp:extent cx="6300469" cy="8986473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6300469" cy="8986473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br w:type="page"/>
      </w:r>
      <w:r>
        <w:rPr>
          <w:rFonts w:ascii="Times New Roman" w:hAnsi="Times New Roman"/>
          <w:sz w:val="28"/>
        </w:rPr>
        <w:t>ПОЯСНИТЕЛЬНАЯ ЗАПИСКА</w:t>
      </w:r>
    </w:p>
    <w:p w14:paraId="02000000">
      <w:pPr>
        <w:spacing w:line="276" w:lineRule="auto"/>
        <w:ind/>
        <w:jc w:val="center"/>
        <w:rPr>
          <w:rFonts w:ascii="Times New Roman" w:hAnsi="Times New Roman"/>
          <w:sz w:val="28"/>
        </w:rPr>
      </w:pPr>
    </w:p>
    <w:p w14:paraId="03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Учебный план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</w:t>
      </w:r>
      <w:r>
        <w:rPr>
          <w:rStyle w:val="Style_1_ch"/>
          <w:rFonts w:ascii="Times New Roman" w:hAnsi="Times New Roman"/>
          <w:sz w:val="28"/>
        </w:rPr>
        <w:t xml:space="preserve"> 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(далее - учебный план) для </w:t>
      </w:r>
      <w:r>
        <w:rPr>
          <w:rStyle w:val="Style_1_ch"/>
          <w:rFonts w:ascii="Times New Roman" w:hAnsi="Times New Roman"/>
          <w:sz w:val="28"/>
        </w:rPr>
        <w:t>5-9</w:t>
      </w:r>
      <w:r>
        <w:rPr>
          <w:rStyle w:val="Style_1_ch"/>
          <w:rFonts w:ascii="Times New Roman" w:hAnsi="Times New Roman"/>
          <w:sz w:val="28"/>
        </w:rPr>
        <w:t xml:space="preserve"> классов, реализующих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основную образовательную программу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образования, соответствующ</w:t>
      </w:r>
      <w:r>
        <w:rPr>
          <w:rStyle w:val="Style_1_ch"/>
          <w:rFonts w:ascii="Times New Roman" w:hAnsi="Times New Roman"/>
          <w:sz w:val="28"/>
        </w:rPr>
        <w:t>ую</w:t>
      </w:r>
      <w:r>
        <w:rPr>
          <w:rStyle w:val="Style_1_ch"/>
          <w:rFonts w:ascii="Times New Roman" w:hAnsi="Times New Roman"/>
          <w:sz w:val="28"/>
        </w:rPr>
        <w:t xml:space="preserve"> ФГОС О</w:t>
      </w:r>
      <w:r>
        <w:rPr>
          <w:rStyle w:val="Style_1_ch"/>
          <w:rFonts w:ascii="Times New Roman" w:hAnsi="Times New Roman"/>
          <w:sz w:val="28"/>
        </w:rPr>
        <w:t>ОО</w:t>
      </w:r>
      <w:r>
        <w:rPr>
          <w:rStyle w:val="Style_1_ch"/>
          <w:rFonts w:ascii="Times New Roman" w:hAnsi="Times New Roman"/>
          <w:sz w:val="28"/>
        </w:rPr>
        <w:t xml:space="preserve"> (приказ Министерства просвещения Российской Федерации от 31.05.2021 № 28</w:t>
      </w:r>
      <w:r>
        <w:rPr>
          <w:rStyle w:val="Style_1_ch"/>
          <w:rFonts w:ascii="Times New Roman" w:hAnsi="Times New Roman"/>
          <w:sz w:val="28"/>
        </w:rPr>
        <w:t>7</w:t>
      </w:r>
      <w:r>
        <w:rPr>
          <w:rStyle w:val="Style_1_ch"/>
          <w:rFonts w:ascii="Times New Roman" w:hAnsi="Times New Roman"/>
          <w:sz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образования»)</w:t>
      </w:r>
      <w:r>
        <w:rPr>
          <w:rStyle w:val="Style_1_ch"/>
          <w:rFonts w:ascii="Times New Roman" w:hAnsi="Times New Roman"/>
          <w:sz w:val="28"/>
        </w:rPr>
        <w:t xml:space="preserve">, </w:t>
      </w:r>
      <w:r>
        <w:rPr>
          <w:rStyle w:val="Style_1_ch"/>
          <w:rFonts w:ascii="Times New Roman" w:hAnsi="Times New Roman"/>
          <w:sz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0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является частью образовательной программы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разработанной в соответствии с ФГОС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с учетом </w:t>
      </w:r>
      <w:r>
        <w:rPr>
          <w:rStyle w:val="Style_1_ch"/>
          <w:rFonts w:ascii="Times New Roman" w:hAnsi="Times New Roman"/>
          <w:sz w:val="28"/>
        </w:rPr>
        <w:t xml:space="preserve">Федеральной </w:t>
      </w:r>
      <w:r>
        <w:rPr>
          <w:rStyle w:val="Style_1_ch"/>
          <w:rFonts w:ascii="Times New Roman" w:hAnsi="Times New Roman"/>
          <w:sz w:val="28"/>
        </w:rPr>
        <w:t>образовательн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программ</w:t>
      </w:r>
      <w:r>
        <w:rPr>
          <w:rStyle w:val="Style_1_ch"/>
          <w:rFonts w:ascii="Times New Roman" w:hAnsi="Times New Roman"/>
          <w:sz w:val="28"/>
        </w:rPr>
        <w:t>ой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</w:t>
      </w:r>
      <w:r>
        <w:rPr>
          <w:rStyle w:val="Style_1_ch"/>
          <w:rFonts w:ascii="Times New Roman" w:hAnsi="Times New Roman"/>
          <w:sz w:val="28"/>
        </w:rPr>
        <w:t>,</w:t>
      </w:r>
      <w:r>
        <w:rPr>
          <w:rStyle w:val="Style_1_ch"/>
          <w:rFonts w:ascii="Times New Roman" w:hAnsi="Times New Roman"/>
          <w:sz w:val="28"/>
        </w:rPr>
        <w:t xml:space="preserve"> и обеспечивает выполнение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санитарно-эпидемиологических требований СП 2.4.3648-20 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гигиенических нормативов и требований СанПиН 1.2.3685-21.</w:t>
      </w:r>
    </w:p>
    <w:p w14:paraId="05000000">
      <w:pPr>
        <w:spacing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Учебный год 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начинается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01.09.2023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и заканчивается </w:t>
      </w:r>
      <w:r>
        <w:rPr>
          <w:rFonts w:ascii="Times New Roman" w:hAnsi="Times New Roman"/>
          <w:sz w:val="28"/>
        </w:rPr>
        <w:t>25.09.2024</w:t>
      </w:r>
      <w:r>
        <w:rPr>
          <w:rFonts w:ascii="Times New Roman" w:hAnsi="Times New Roman"/>
          <w:sz w:val="28"/>
        </w:rPr>
        <w:t xml:space="preserve">. </w:t>
      </w:r>
    </w:p>
    <w:p w14:paraId="06000000">
      <w:pPr>
        <w:spacing w:line="276" w:lineRule="auto"/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</w:t>
      </w:r>
      <w:r>
        <w:rPr>
          <w:rStyle w:val="Style_1_ch"/>
          <w:rFonts w:ascii="Times New Roman" w:hAnsi="Times New Roman"/>
          <w:sz w:val="28"/>
        </w:rPr>
        <w:t>должительность учебного года в 5-9 классах составляет 34 учебные</w:t>
      </w:r>
      <w:r>
        <w:rPr>
          <w:rStyle w:val="Style_1_ch"/>
          <w:rFonts w:ascii="Times New Roman" w:hAnsi="Times New Roman"/>
          <w:sz w:val="28"/>
        </w:rPr>
        <w:t xml:space="preserve"> недели. </w:t>
      </w:r>
    </w:p>
    <w:p w14:paraId="0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Учебные занятия для учащихся </w:t>
      </w:r>
      <w:r>
        <w:rPr>
          <w:rStyle w:val="Style_1_ch"/>
          <w:rFonts w:ascii="Times New Roman" w:hAnsi="Times New Roman"/>
          <w:sz w:val="28"/>
        </w:rPr>
        <w:t>5-9</w:t>
      </w:r>
      <w:r>
        <w:rPr>
          <w:rStyle w:val="Style_1_ch"/>
          <w:rFonts w:ascii="Times New Roman" w:hAnsi="Times New Roman"/>
          <w:sz w:val="28"/>
        </w:rPr>
        <w:t xml:space="preserve"> классов проводятся по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5-</w:t>
      </w:r>
      <w:r>
        <w:rPr>
          <w:rStyle w:val="Style_1_ch"/>
          <w:rFonts w:ascii="Times New Roman" w:hAnsi="Times New Roman"/>
          <w:sz w:val="28"/>
        </w:rPr>
        <w:t>т</w:t>
      </w:r>
      <w:r>
        <w:rPr>
          <w:rStyle w:val="Style_1_ch"/>
          <w:rFonts w:ascii="Times New Roman" w:hAnsi="Times New Roman"/>
          <w:sz w:val="28"/>
        </w:rPr>
        <w:t>и</w:t>
      </w:r>
      <w:r>
        <w:rPr>
          <w:rStyle w:val="Style_1_ch"/>
          <w:rFonts w:ascii="Times New Roman" w:hAnsi="Times New Roman"/>
          <w:sz w:val="28"/>
        </w:rPr>
        <w:t xml:space="preserve"> дневной учебной неделе.</w:t>
      </w:r>
    </w:p>
    <w:p w14:paraId="08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Максимальный объем аудиторной нагрузки обучающихся в неделю составляет 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в  5 классе – 29 часов, в  6 классе – 30 часов, в 7 классе – 32 часа, в  8-9 классах – 33 часа. </w:t>
      </w:r>
      <w:r>
        <w:rPr>
          <w:rStyle w:val="Style_1_ch"/>
          <w:rFonts w:ascii="Times New Roman" w:hAnsi="Times New Roman"/>
          <w:sz w:val="28"/>
        </w:rPr>
        <w:t>.</w:t>
      </w:r>
    </w:p>
    <w:p w14:paraId="09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A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>
        <w:rPr>
          <w:rStyle w:val="Style_1_ch"/>
          <w:rFonts w:ascii="Times New Roman" w:hAnsi="Times New Roman"/>
          <w:sz w:val="28"/>
        </w:rPr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0B000000">
      <w:pPr>
        <w:ind w:firstLine="567"/>
        <w:jc w:val="both"/>
        <w:rPr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В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языком </w:t>
      </w:r>
      <w:r>
        <w:rPr>
          <w:rStyle w:val="Style_1_ch"/>
          <w:rFonts w:ascii="Times New Roman" w:hAnsi="Times New Roman"/>
          <w:sz w:val="28"/>
        </w:rPr>
        <w:t>об</w:t>
      </w:r>
      <w:r>
        <w:rPr>
          <w:rStyle w:val="Style_1_ch"/>
          <w:rFonts w:ascii="Times New Roman" w:hAnsi="Times New Roman"/>
          <w:sz w:val="28"/>
        </w:rPr>
        <w:t>учения</w:t>
      </w:r>
      <w:r>
        <w:rPr>
          <w:rStyle w:val="Style_1_ch"/>
          <w:rFonts w:ascii="Times New Roman" w:hAnsi="Times New Roman"/>
          <w:sz w:val="28"/>
        </w:rPr>
        <w:t xml:space="preserve"> является </w:t>
      </w:r>
      <w:r>
        <w:rPr>
          <w:rFonts w:ascii="Times New Roman" w:hAnsi="Times New Roman"/>
          <w:sz w:val="28"/>
        </w:rPr>
        <w:t xml:space="preserve">русский </w:t>
      </w:r>
      <w:r>
        <w:rPr>
          <w:rFonts w:ascii="Times New Roman" w:hAnsi="Times New Roman"/>
          <w:sz w:val="28"/>
        </w:rPr>
        <w:t>язык</w:t>
      </w:r>
      <w:r>
        <w:rPr>
          <w:rFonts w:ascii="Times New Roman" w:hAnsi="Times New Roman"/>
          <w:sz w:val="28"/>
        </w:rPr>
        <w:t>.</w:t>
      </w:r>
    </w:p>
    <w:p w14:paraId="0C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0D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0E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При изучении </w:t>
      </w:r>
      <w:r>
        <w:rPr>
          <w:rStyle w:val="Style_1_ch"/>
          <w:rFonts w:ascii="Times New Roman" w:hAnsi="Times New Roman"/>
          <w:sz w:val="28"/>
        </w:rPr>
        <w:t xml:space="preserve">предметов </w:t>
      </w:r>
      <w:r>
        <w:rPr>
          <w:rStyle w:val="Style_1_ch"/>
          <w:rFonts w:ascii="Times New Roman" w:hAnsi="Times New Roman"/>
          <w:sz w:val="28"/>
        </w:rPr>
        <w:t>родной язык, литературное чтение на родном языке, государственный язык Республики Татарстан</w:t>
      </w:r>
      <w:r>
        <w:rPr>
          <w:rStyle w:val="Style_1_ch"/>
          <w:rFonts w:ascii="Times New Roman" w:hAnsi="Times New Roman"/>
        </w:rPr>
        <w:t xml:space="preserve"> </w:t>
      </w:r>
      <w:r>
        <w:rPr>
          <w:rStyle w:val="Style_1_ch"/>
          <w:rFonts w:ascii="Times New Roman" w:hAnsi="Times New Roman"/>
          <w:sz w:val="28"/>
        </w:rPr>
        <w:t>осуществляется д</w:t>
      </w:r>
      <w:r>
        <w:rPr>
          <w:rStyle w:val="Style_1_ch"/>
          <w:rFonts w:ascii="Times New Roman" w:hAnsi="Times New Roman"/>
          <w:sz w:val="28"/>
        </w:rPr>
        <w:t xml:space="preserve">еление </w:t>
      </w:r>
      <w:r>
        <w:rPr>
          <w:rStyle w:val="Style_1_ch"/>
          <w:rFonts w:ascii="Times New Roman" w:hAnsi="Times New Roman"/>
          <w:sz w:val="28"/>
        </w:rPr>
        <w:t xml:space="preserve">учащихся </w:t>
      </w:r>
      <w:r>
        <w:rPr>
          <w:rStyle w:val="Style_1_ch"/>
          <w:rFonts w:ascii="Times New Roman" w:hAnsi="Times New Roman"/>
          <w:sz w:val="28"/>
        </w:rPr>
        <w:t>на подгруппы</w:t>
      </w:r>
      <w:r>
        <w:rPr>
          <w:rStyle w:val="Style_1_ch"/>
          <w:rFonts w:ascii="Times New Roman" w:hAnsi="Times New Roman"/>
          <w:sz w:val="28"/>
        </w:rPr>
        <w:t>.</w:t>
      </w:r>
    </w:p>
    <w:p w14:paraId="0F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 аттестация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–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процедура, проводимая с целью оценки качества освоения обучающимися части содержания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(четвертное оценивание) или всего объема учебной дисциплины за учебный год (годовое оценивание).</w:t>
      </w:r>
    </w:p>
    <w:p w14:paraId="10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Промежуточная/годовая аттестация обучающихся за четверть осуществляется в соответствии с календарным учебным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графиком.</w:t>
      </w:r>
    </w:p>
    <w:p w14:paraId="11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14:paraId="12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Промежуточная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аттестация проходит на последней учебной неделе четверти.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Style_1_ch"/>
          <w:rFonts w:ascii="Times New Roman" w:hAnsi="Times New Roman"/>
          <w:sz w:val="28"/>
        </w:rPr>
        <w:br/>
      </w:r>
      <w:r>
        <w:rPr>
          <w:rStyle w:val="Style_1_ch"/>
          <w:rFonts w:ascii="Times New Roman" w:hAnsi="Times New Roman"/>
          <w:sz w:val="28"/>
        </w:rPr>
        <w:t xml:space="preserve">текущего контроля успеваемости и промежуточной аттестации обучающихся </w:t>
      </w:r>
      <w:r>
        <w:rPr>
          <w:rStyle w:val="Style_1_ch"/>
          <w:rFonts w:ascii="Times New Roman" w:hAnsi="Times New Roman"/>
          <w:sz w:val="28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  <w:r>
        <w:rPr>
          <w:rStyle w:val="Style_1_ch"/>
          <w:rFonts w:ascii="Times New Roman" w:hAnsi="Times New Roman"/>
          <w:sz w:val="28"/>
        </w:rPr>
        <w:t>.</w:t>
      </w:r>
      <w:r>
        <w:rPr>
          <w:rStyle w:val="Style_1_ch"/>
          <w:rFonts w:ascii="Times New Roman" w:hAnsi="Times New Roman"/>
          <w:sz w:val="28"/>
        </w:rPr>
        <w:t xml:space="preserve"> </w:t>
      </w:r>
    </w:p>
    <w:p w14:paraId="13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Освоение основной образовательной</w:t>
      </w:r>
      <w:r>
        <w:rPr>
          <w:rStyle w:val="Style_1_ch"/>
          <w:rFonts w:ascii="Times New Roman" w:hAnsi="Times New Roman"/>
          <w:sz w:val="28"/>
        </w:rPr>
        <w:t xml:space="preserve"> программ </w:t>
      </w:r>
      <w:r>
        <w:rPr>
          <w:rStyle w:val="Style_1_ch"/>
          <w:rFonts w:ascii="Times New Roman" w:hAnsi="Times New Roman"/>
          <w:sz w:val="28"/>
        </w:rPr>
        <w:t>основного</w:t>
      </w:r>
      <w:r>
        <w:rPr>
          <w:rStyle w:val="Style_1_ch"/>
          <w:rFonts w:ascii="Times New Roman" w:hAnsi="Times New Roman"/>
          <w:sz w:val="28"/>
        </w:rPr>
        <w:t xml:space="preserve"> общего образования завершается итоговой аттестацией.</w:t>
      </w:r>
      <w:r>
        <w:rPr>
          <w:rStyle w:val="Style_1_ch"/>
          <w:rFonts w:ascii="Times New Roman" w:hAnsi="Times New Roman"/>
          <w:sz w:val="28"/>
        </w:rPr>
        <w:t xml:space="preserve"> </w:t>
      </w:r>
    </w:p>
    <w:p w14:paraId="14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 xml:space="preserve">Нормативный срок освоения </w:t>
      </w:r>
      <w:r>
        <w:rPr>
          <w:rStyle w:val="Style_1_ch"/>
          <w:rFonts w:ascii="Times New Roman" w:hAnsi="Times New Roman"/>
          <w:sz w:val="28"/>
        </w:rPr>
        <w:t>основной образовательной программы основного общего образования</w:t>
      </w:r>
      <w:r>
        <w:rPr>
          <w:rStyle w:val="Style_1_ch"/>
          <w:rFonts w:ascii="Times New Roman" w:hAnsi="Times New Roman"/>
          <w:sz w:val="28"/>
        </w:rPr>
        <w:t xml:space="preserve"> составляет </w:t>
      </w:r>
      <w:r>
        <w:rPr>
          <w:rStyle w:val="Style_1_ch"/>
          <w:rFonts w:ascii="Times New Roman" w:hAnsi="Times New Roman"/>
          <w:sz w:val="28"/>
        </w:rPr>
        <w:t>5</w:t>
      </w:r>
      <w:r>
        <w:rPr>
          <w:rStyle w:val="Style_1_ch"/>
          <w:rFonts w:ascii="Times New Roman" w:hAnsi="Times New Roman"/>
          <w:sz w:val="28"/>
        </w:rPr>
        <w:t xml:space="preserve"> </w:t>
      </w:r>
      <w:r>
        <w:rPr>
          <w:rStyle w:val="Style_1_ch"/>
          <w:rFonts w:ascii="Times New Roman" w:hAnsi="Times New Roman"/>
          <w:sz w:val="28"/>
        </w:rPr>
        <w:t>лет</w:t>
      </w:r>
      <w:r>
        <w:rPr>
          <w:rStyle w:val="Style_1_ch"/>
          <w:rFonts w:ascii="Times New Roman" w:hAnsi="Times New Roman"/>
          <w:sz w:val="28"/>
        </w:rPr>
        <w:t>.</w:t>
      </w:r>
    </w:p>
    <w:p w14:paraId="15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6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700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p w14:paraId="18000000">
      <w:pPr>
        <w:tabs>
          <w:tab w:leader="none" w:pos="2820" w:val="left"/>
          <w:tab w:leader="none" w:pos="4962" w:val="left"/>
        </w:tabs>
        <w:spacing w:after="0" w:line="240" w:lineRule="auto"/>
        <w:ind/>
        <w:jc w:val="center"/>
        <w:rPr>
          <w:rFonts w:ascii="Times New Roman" w:hAnsi="Times New Roman"/>
          <w:b w:val="1"/>
          <w:color w:val="000000"/>
          <w:sz w:val="28"/>
        </w:rPr>
      </w:pPr>
      <w:r>
        <w:rPr>
          <w:rFonts w:ascii="Times New Roman" w:hAnsi="Times New Roman"/>
          <w:b w:val="1"/>
          <w:color w:val="000000"/>
          <w:sz w:val="28"/>
        </w:rPr>
        <w:t xml:space="preserve"> Формы промежуточной аттестации для 5-9  классов</w:t>
      </w:r>
    </w:p>
    <w:tbl>
      <w:tblPr>
        <w:tblStyle w:val="Style_2"/>
        <w:tblInd w:type="dxa" w:w="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1330"/>
        <w:gridCol w:w="1680"/>
        <w:gridCol w:w="1836"/>
        <w:gridCol w:w="1440"/>
        <w:gridCol w:w="1215"/>
        <w:gridCol w:w="1701"/>
      </w:tblGrid>
      <w:tr>
        <w:trPr>
          <w:trHeight w:hRule="atLeast" w:val="795"/>
        </w:trP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  <w:tl2br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классы</w:t>
            </w:r>
          </w:p>
          <w:p w14:paraId="1A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  <w:p w14:paraId="1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2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2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</w:t>
            </w:r>
          </w:p>
          <w:p w14:paraId="2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2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</w:t>
            </w:r>
          </w:p>
          <w:p w14:paraId="2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ответ на основе билетов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3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3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3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3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</w:t>
            </w:r>
          </w:p>
          <w:p w14:paraId="4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 подгруппа)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</w:t>
            </w:r>
          </w:p>
          <w:p w14:paraId="4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 подгруппа)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  <w:p w14:paraId="5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 подгруппа)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E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  <w:p w14:paraId="6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(2 подгруппа)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6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ответ на основе билетов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389"/>
        </w:trP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B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0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300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400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7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C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Геометрия 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ответ на основе билетов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устный ответ на основе билетов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Информатика 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612"/>
        </w:trP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История  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A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A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rPr>
          <w:trHeight w:hRule="atLeast" w:val="612"/>
        </w:trP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Обществознание 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D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D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spacing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E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E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E9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итоговая </w:t>
            </w:r>
          </w:p>
          <w:p w14:paraId="EB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диагностическая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Искусство 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spacing w:after="0" w:line="240" w:lineRule="auto"/>
              <w:ind/>
              <w:rPr>
                <w:rFonts w:ascii="Times New Roman" w:hAnsi="Times New Roman"/>
              </w:rPr>
            </w:pP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7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2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годовая оценка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ОДНКНР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Курсы по выбору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D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</w:tr>
      <w:tr>
        <w:tc>
          <w:tcPr>
            <w:tcW w:type="dxa" w:w="1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Элективные курсы</w:t>
            </w:r>
          </w:p>
        </w:tc>
        <w:tc>
          <w:tcPr>
            <w:tcW w:type="dxa" w:w="168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83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type="dxa" w:w="144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зачет</w:t>
            </w:r>
          </w:p>
        </w:tc>
        <w:tc>
          <w:tcPr>
            <w:tcW w:type="dxa" w:w="121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14:paraId="47010000">
      <w:pPr>
        <w:sectPr>
          <w:pgSz w:h="16838" w:orient="portrait" w:w="11906"/>
          <w:pgMar w:bottom="1134" w:footer="708" w:gutter="0" w:header="708" w:left="1134" w:right="850" w:top="1134"/>
        </w:sectPr>
      </w:pPr>
    </w:p>
    <w:p w14:paraId="4801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  <w:r>
        <w:rPr>
          <w:rStyle w:val="Style_1_ch"/>
          <w:rFonts w:ascii="Times New Roman" w:hAnsi="Times New Roman"/>
          <w:sz w:val="28"/>
        </w:rPr>
        <w:t>УЧЕБНЫЙ ПЛАН</w:t>
      </w:r>
    </w:p>
    <w:p w14:paraId="49010000">
      <w:pPr>
        <w:ind w:firstLine="567"/>
        <w:jc w:val="both"/>
        <w:rPr>
          <w:rStyle w:val="Style_1_ch"/>
          <w:rFonts w:ascii="Times New Roman" w:hAnsi="Times New Roman"/>
          <w:sz w:val="28"/>
        </w:rPr>
      </w:pPr>
    </w:p>
    <w:tbl>
      <w:tblPr>
        <w:tblStyle w:val="Style_3"/>
        <w:tblLayout w:type="fixed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2079"/>
            <w:vMerge w:val="restart"/>
            <w:shd w:fill="D9D9D9" w:val="clear"/>
          </w:tcPr>
          <w:p w14:paraId="4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Предметная область</w:t>
            </w:r>
          </w:p>
        </w:tc>
        <w:tc>
          <w:tcPr>
            <w:tcW w:type="dxa" w:w="2079"/>
            <w:vMerge w:val="restart"/>
            <w:shd w:fill="D9D9D9" w:val="clear"/>
          </w:tcPr>
          <w:p w14:paraId="4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Учебный предмет</w:t>
            </w:r>
          </w:p>
        </w:tc>
        <w:tc>
          <w:tcPr>
            <w:tcW w:type="dxa" w:w="10394"/>
            <w:gridSpan w:val="5"/>
            <w:shd w:fill="D9D9D9" w:val="clear"/>
          </w:tcPr>
          <w:p w14:paraId="4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2079"/>
            <w:gridSpan w:val="1"/>
            <w:vMerge w:val="continue"/>
            <w:shd w:fill="D9D9D9" w:val="clear"/>
          </w:tcPr>
          <w:p/>
        </w:tc>
        <w:tc>
          <w:tcPr>
            <w:tcW w:type="dxa" w:w="2079"/>
            <w:gridSpan w:val="1"/>
            <w:vMerge w:val="continue"/>
            <w:shd w:fill="D9D9D9" w:val="clear"/>
          </w:tcPr>
          <w:p/>
        </w:tc>
        <w:tc>
          <w:tcPr>
            <w:tcW w:type="dxa" w:w="2079"/>
            <w:shd w:fill="D9D9D9" w:val="clear"/>
          </w:tcPr>
          <w:p w14:paraId="4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5</w:t>
            </w:r>
          </w:p>
        </w:tc>
        <w:tc>
          <w:tcPr>
            <w:tcW w:type="dxa" w:w="2079"/>
            <w:shd w:fill="D9D9D9" w:val="clear"/>
          </w:tcPr>
          <w:p w14:paraId="4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6</w:t>
            </w:r>
          </w:p>
        </w:tc>
        <w:tc>
          <w:tcPr>
            <w:tcW w:type="dxa" w:w="2079"/>
            <w:shd w:fill="D9D9D9" w:val="clear"/>
          </w:tcPr>
          <w:p w14:paraId="4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7</w:t>
            </w:r>
          </w:p>
        </w:tc>
        <w:tc>
          <w:tcPr>
            <w:tcW w:type="dxa" w:w="2079"/>
            <w:shd w:fill="D9D9D9" w:val="clear"/>
          </w:tcPr>
          <w:p w14:paraId="5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8</w:t>
            </w:r>
          </w:p>
        </w:tc>
        <w:tc>
          <w:tcPr>
            <w:tcW w:type="dxa" w:w="2079"/>
            <w:shd w:fill="D9D9D9" w:val="clear"/>
          </w:tcPr>
          <w:p w14:paraId="5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9</w:t>
            </w:r>
          </w:p>
        </w:tc>
      </w:tr>
      <w:tr>
        <w:tc>
          <w:tcPr>
            <w:tcW w:type="dxa" w:w="14552"/>
            <w:gridSpan w:val="7"/>
            <w:shd w:fill="FFFFB3" w:val="clear"/>
          </w:tcPr>
          <w:p w14:paraId="5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Обязательная часть</w:t>
            </w:r>
          </w:p>
        </w:tc>
      </w:tr>
      <w:tr>
        <w:tc>
          <w:tcPr>
            <w:tcW w:type="dxa" w:w="2079"/>
            <w:vMerge w:val="restart"/>
          </w:tcPr>
          <w:p w14:paraId="5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и литература</w:t>
            </w:r>
          </w:p>
        </w:tc>
        <w:tc>
          <w:tcPr>
            <w:tcW w:type="dxa" w:w="2079"/>
          </w:tcPr>
          <w:p w14:paraId="5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type="dxa" w:w="2079"/>
          </w:tcPr>
          <w:p w14:paraId="5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79"/>
          </w:tcPr>
          <w:p w14:paraId="5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type="dxa" w:w="2079"/>
          </w:tcPr>
          <w:p w14:paraId="5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2079"/>
          </w:tcPr>
          <w:p w14:paraId="5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5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5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type="dxa" w:w="2079"/>
          </w:tcPr>
          <w:p w14:paraId="5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5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5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5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5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2079"/>
            <w:vMerge w:val="restart"/>
          </w:tcPr>
          <w:p w14:paraId="6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 и родная литература</w:t>
            </w:r>
          </w:p>
        </w:tc>
        <w:tc>
          <w:tcPr>
            <w:tcW w:type="dxa" w:w="2079"/>
          </w:tcPr>
          <w:p w14:paraId="6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079"/>
          </w:tcPr>
          <w:p w14:paraId="6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6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6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6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6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6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type="dxa" w:w="2079"/>
          </w:tcPr>
          <w:p w14:paraId="6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2079"/>
          </w:tcPr>
          <w:p w14:paraId="6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type="dxa" w:w="2079"/>
          </w:tcPr>
          <w:p w14:paraId="6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type="dxa" w:w="2079"/>
          </w:tcPr>
          <w:p w14:paraId="6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7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7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7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7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2079"/>
            <w:vMerge w:val="restart"/>
          </w:tcPr>
          <w:p w14:paraId="7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и информатика</w:t>
            </w:r>
          </w:p>
        </w:tc>
        <w:tc>
          <w:tcPr>
            <w:tcW w:type="dxa" w:w="2079"/>
          </w:tcPr>
          <w:p w14:paraId="75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type="dxa" w:w="2079"/>
          </w:tcPr>
          <w:p w14:paraId="7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79"/>
          </w:tcPr>
          <w:p w14:paraId="7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79"/>
          </w:tcPr>
          <w:p w14:paraId="7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7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7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7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Алгебра</w:t>
            </w:r>
          </w:p>
        </w:tc>
        <w:tc>
          <w:tcPr>
            <w:tcW w:type="dxa" w:w="2079"/>
          </w:tcPr>
          <w:p w14:paraId="7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7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7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7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079"/>
          </w:tcPr>
          <w:p w14:paraId="8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8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Геометрия</w:t>
            </w:r>
          </w:p>
        </w:tc>
        <w:tc>
          <w:tcPr>
            <w:tcW w:type="dxa" w:w="2079"/>
          </w:tcPr>
          <w:p w14:paraId="8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8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8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8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8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8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Вероятность и статистика</w:t>
            </w:r>
          </w:p>
        </w:tc>
        <w:tc>
          <w:tcPr>
            <w:tcW w:type="dxa" w:w="2079"/>
          </w:tcPr>
          <w:p w14:paraId="8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8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8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8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8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8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type="dxa" w:w="2079"/>
          </w:tcPr>
          <w:p w14:paraId="8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8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9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9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9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2079"/>
            <w:vMerge w:val="restart"/>
          </w:tcPr>
          <w:p w14:paraId="9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Общественно-научные предметы</w:t>
            </w:r>
          </w:p>
        </w:tc>
        <w:tc>
          <w:tcPr>
            <w:tcW w:type="dxa" w:w="2079"/>
          </w:tcPr>
          <w:p w14:paraId="9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</w:t>
            </w:r>
          </w:p>
        </w:tc>
        <w:tc>
          <w:tcPr>
            <w:tcW w:type="dxa" w:w="2079"/>
          </w:tcPr>
          <w:p w14:paraId="9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9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9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9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9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9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type="dxa" w:w="2079"/>
          </w:tcPr>
          <w:p w14:paraId="9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9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9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9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9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A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</w:tc>
        <w:tc>
          <w:tcPr>
            <w:tcW w:type="dxa" w:w="2079"/>
          </w:tcPr>
          <w:p w14:paraId="A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A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A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A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A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vMerge w:val="restart"/>
          </w:tcPr>
          <w:p w14:paraId="A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Естественно-научные предметы</w:t>
            </w:r>
          </w:p>
        </w:tc>
        <w:tc>
          <w:tcPr>
            <w:tcW w:type="dxa" w:w="2079"/>
          </w:tcPr>
          <w:p w14:paraId="A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Физика</w:t>
            </w:r>
          </w:p>
        </w:tc>
        <w:tc>
          <w:tcPr>
            <w:tcW w:type="dxa" w:w="2079"/>
          </w:tcPr>
          <w:p w14:paraId="A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A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A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A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A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A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Химия</w:t>
            </w:r>
          </w:p>
        </w:tc>
        <w:tc>
          <w:tcPr>
            <w:tcW w:type="dxa" w:w="2079"/>
          </w:tcPr>
          <w:p w14:paraId="A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A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B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B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B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B3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</w:t>
            </w:r>
          </w:p>
        </w:tc>
        <w:tc>
          <w:tcPr>
            <w:tcW w:type="dxa" w:w="2079"/>
          </w:tcPr>
          <w:p w14:paraId="B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B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vMerge w:val="restart"/>
          </w:tcPr>
          <w:p w14:paraId="B9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Искусство</w:t>
            </w:r>
          </w:p>
        </w:tc>
        <w:tc>
          <w:tcPr>
            <w:tcW w:type="dxa" w:w="2079"/>
          </w:tcPr>
          <w:p w14:paraId="B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type="dxa" w:w="2079"/>
          </w:tcPr>
          <w:p w14:paraId="B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B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B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C0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</w:t>
            </w:r>
          </w:p>
        </w:tc>
        <w:tc>
          <w:tcPr>
            <w:tcW w:type="dxa" w:w="2079"/>
          </w:tcPr>
          <w:p w14:paraId="C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C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C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C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C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2079"/>
          </w:tcPr>
          <w:p w14:paraId="C6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type="dxa" w:w="2079"/>
          </w:tcPr>
          <w:p w14:paraId="C7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type="dxa" w:w="2079"/>
          </w:tcPr>
          <w:p w14:paraId="C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C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CA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C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C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c>
          <w:tcPr>
            <w:tcW w:type="dxa" w:w="2079"/>
            <w:vMerge w:val="restart"/>
          </w:tcPr>
          <w:p w14:paraId="CD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type="dxa" w:w="2079"/>
          </w:tcPr>
          <w:p w14:paraId="C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type="dxa" w:w="2079"/>
          </w:tcPr>
          <w:p w14:paraId="C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D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D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D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</w:tcPr>
          <w:p w14:paraId="D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>
        <w:tc>
          <w:tcPr>
            <w:tcW w:type="dxa" w:w="2079"/>
            <w:gridSpan w:val="1"/>
            <w:vMerge w:val="continue"/>
          </w:tcPr>
          <w:p/>
        </w:tc>
        <w:tc>
          <w:tcPr>
            <w:tcW w:type="dxa" w:w="2079"/>
          </w:tcPr>
          <w:p w14:paraId="D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безопасности жизнедеятельности</w:t>
            </w:r>
          </w:p>
        </w:tc>
        <w:tc>
          <w:tcPr>
            <w:tcW w:type="dxa" w:w="2079"/>
          </w:tcPr>
          <w:p w14:paraId="D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D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D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D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D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2079"/>
          </w:tcPr>
          <w:p w14:paraId="D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type="dxa" w:w="2079"/>
          </w:tcPr>
          <w:p w14:paraId="DB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type="dxa" w:w="2079"/>
          </w:tcPr>
          <w:p w14:paraId="D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D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D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D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E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  <w:shd w:fill="00FF00" w:val="clear"/>
          </w:tcPr>
          <w:p w14:paraId="E1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type="dxa" w:w="2079"/>
            <w:shd w:fill="00FF00" w:val="clear"/>
          </w:tcPr>
          <w:p w14:paraId="E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type="dxa" w:w="2079"/>
            <w:shd w:fill="00FF00" w:val="clear"/>
          </w:tcPr>
          <w:p w14:paraId="E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type="dxa" w:w="2079"/>
            <w:shd w:fill="00FF00" w:val="clear"/>
          </w:tcPr>
          <w:p w14:paraId="E4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type="dxa" w:w="2079"/>
            <w:shd w:fill="00FF00" w:val="clear"/>
          </w:tcPr>
          <w:p w14:paraId="E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079"/>
            <w:shd w:fill="00FF00" w:val="clear"/>
          </w:tcPr>
          <w:p w14:paraId="E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</w:tr>
      <w:tr>
        <w:tc>
          <w:tcPr>
            <w:tcW w:type="dxa" w:w="14552"/>
            <w:gridSpan w:val="7"/>
            <w:shd w:fill="FFFFB3" w:val="clear"/>
          </w:tcPr>
          <w:p w14:paraId="E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158"/>
            <w:gridSpan w:val="2"/>
            <w:shd w:fill="D9D9D9" w:val="clear"/>
          </w:tcPr>
          <w:p w14:paraId="E8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Наименование учебного курса</w:t>
            </w:r>
          </w:p>
        </w:tc>
        <w:tc>
          <w:tcPr>
            <w:tcW w:type="dxa" w:w="2079"/>
            <w:shd w:fill="D9D9D9" w:val="clear"/>
          </w:tcPr>
          <w:p w14:paraId="E9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079"/>
            <w:shd w:fill="D9D9D9" w:val="clear"/>
          </w:tcPr>
          <w:p w14:paraId="EA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079"/>
            <w:shd w:fill="D9D9D9" w:val="clear"/>
          </w:tcPr>
          <w:p w14:paraId="EB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079"/>
            <w:shd w:fill="D9D9D9" w:val="clear"/>
          </w:tcPr>
          <w:p w14:paraId="EC010000">
            <w:pPr>
              <w:rPr>
                <w:rFonts w:ascii="Times New Roman" w:hAnsi="Times New Roman"/>
              </w:rPr>
            </w:pPr>
          </w:p>
        </w:tc>
        <w:tc>
          <w:tcPr>
            <w:tcW w:type="dxa" w:w="2079"/>
            <w:shd w:fill="D9D9D9" w:val="clear"/>
          </w:tcPr>
          <w:p w14:paraId="ED010000">
            <w:pPr>
              <w:rPr>
                <w:rFonts w:ascii="Times New Roman" w:hAnsi="Times New Roman"/>
              </w:rPr>
            </w:pPr>
          </w:p>
        </w:tc>
      </w:tr>
      <w:tr>
        <w:tc>
          <w:tcPr>
            <w:tcW w:type="dxa" w:w="4158"/>
            <w:gridSpan w:val="2"/>
          </w:tcPr>
          <w:p w14:paraId="EE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финансовой грамотности</w:t>
            </w:r>
          </w:p>
        </w:tc>
        <w:tc>
          <w:tcPr>
            <w:tcW w:type="dxa" w:w="2079"/>
          </w:tcPr>
          <w:p w14:paraId="E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0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1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2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3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F4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проектной деятельности</w:t>
            </w:r>
          </w:p>
        </w:tc>
        <w:tc>
          <w:tcPr>
            <w:tcW w:type="dxa" w:w="2079"/>
          </w:tcPr>
          <w:p w14:paraId="F5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6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F7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8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F9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FA01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по выбору "Твой выбор"</w:t>
            </w:r>
          </w:p>
        </w:tc>
        <w:tc>
          <w:tcPr>
            <w:tcW w:type="dxa" w:w="2079"/>
          </w:tcPr>
          <w:p w14:paraId="FB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FC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FD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FE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FF01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c>
          <w:tcPr>
            <w:tcW w:type="dxa" w:w="4158"/>
            <w:gridSpan w:val="2"/>
          </w:tcPr>
          <w:p w14:paraId="00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Курс по выбору "Деловой этикет"</w:t>
            </w:r>
          </w:p>
        </w:tc>
        <w:tc>
          <w:tcPr>
            <w:tcW w:type="dxa" w:w="2079"/>
          </w:tcPr>
          <w:p w14:paraId="01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0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0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0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0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</w:t>
            </w:r>
          </w:p>
        </w:tc>
      </w:tr>
      <w:tr>
        <w:tc>
          <w:tcPr>
            <w:tcW w:type="dxa" w:w="4158"/>
            <w:gridSpan w:val="2"/>
            <w:shd w:fill="00FF00" w:val="clear"/>
          </w:tcPr>
          <w:p w14:paraId="06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type="dxa" w:w="2079"/>
            <w:shd w:fill="00FF00" w:val="clear"/>
          </w:tcPr>
          <w:p w14:paraId="0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  <w:shd w:fill="00FF00" w:val="clear"/>
          </w:tcPr>
          <w:p w14:paraId="0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  <w:shd w:fill="00FF00" w:val="clear"/>
          </w:tcPr>
          <w:p w14:paraId="09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  <w:shd w:fill="00FF00" w:val="clear"/>
          </w:tcPr>
          <w:p w14:paraId="0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079"/>
            <w:shd w:fill="00FF00" w:val="clear"/>
          </w:tcPr>
          <w:p w14:paraId="0B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  <w:shd w:fill="00FF00" w:val="clear"/>
          </w:tcPr>
          <w:p w14:paraId="0C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2079"/>
            <w:shd w:fill="00FF00" w:val="clear"/>
          </w:tcPr>
          <w:p w14:paraId="0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type="dxa" w:w="2079"/>
            <w:shd w:fill="00FF00" w:val="clear"/>
          </w:tcPr>
          <w:p w14:paraId="0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type="dxa" w:w="2079"/>
            <w:shd w:fill="00FF00" w:val="clear"/>
          </w:tcPr>
          <w:p w14:paraId="0F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type="dxa" w:w="2079"/>
            <w:shd w:fill="00FF00" w:val="clear"/>
          </w:tcPr>
          <w:p w14:paraId="1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type="dxa" w:w="2079"/>
            <w:shd w:fill="00FF00" w:val="clear"/>
          </w:tcPr>
          <w:p w14:paraId="11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</w:tr>
      <w:tr>
        <w:tc>
          <w:tcPr>
            <w:tcW w:type="dxa" w:w="4158"/>
            <w:gridSpan w:val="2"/>
            <w:shd w:fill="FCE3FC" w:val="clear"/>
          </w:tcPr>
          <w:p w14:paraId="12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учебных недель</w:t>
            </w:r>
          </w:p>
        </w:tc>
        <w:tc>
          <w:tcPr>
            <w:tcW w:type="dxa" w:w="2079"/>
            <w:shd w:fill="FCE3FC" w:val="clear"/>
          </w:tcPr>
          <w:p w14:paraId="1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079"/>
            <w:shd w:fill="FCE3FC" w:val="clear"/>
          </w:tcPr>
          <w:p w14:paraId="1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079"/>
            <w:shd w:fill="FCE3FC" w:val="clear"/>
          </w:tcPr>
          <w:p w14:paraId="1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079"/>
            <w:shd w:fill="FCE3FC" w:val="clear"/>
          </w:tcPr>
          <w:p w14:paraId="1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type="dxa" w:w="2079"/>
            <w:shd w:fill="FCE3FC" w:val="clear"/>
          </w:tcPr>
          <w:p w14:paraId="1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>
        <w:tc>
          <w:tcPr>
            <w:tcW w:type="dxa" w:w="4158"/>
            <w:gridSpan w:val="2"/>
            <w:shd w:fill="FCE3FC" w:val="clear"/>
          </w:tcPr>
          <w:p w14:paraId="18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часов в год</w:t>
            </w:r>
          </w:p>
        </w:tc>
        <w:tc>
          <w:tcPr>
            <w:tcW w:type="dxa" w:w="2079"/>
            <w:shd w:fill="FCE3FC" w:val="clear"/>
          </w:tcPr>
          <w:p w14:paraId="19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1088</w:t>
            </w:r>
          </w:p>
        </w:tc>
        <w:tc>
          <w:tcPr>
            <w:tcW w:type="dxa" w:w="2079"/>
            <w:shd w:fill="FCE3FC" w:val="clear"/>
          </w:tcPr>
          <w:p w14:paraId="1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1122</w:t>
            </w:r>
          </w:p>
        </w:tc>
        <w:tc>
          <w:tcPr>
            <w:tcW w:type="dxa" w:w="2079"/>
            <w:shd w:fill="FCE3FC" w:val="clear"/>
          </w:tcPr>
          <w:p w14:paraId="1B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1190</w:t>
            </w:r>
          </w:p>
        </w:tc>
        <w:tc>
          <w:tcPr>
            <w:tcW w:type="dxa" w:w="2079"/>
            <w:shd w:fill="FCE3FC" w:val="clear"/>
          </w:tcPr>
          <w:p w14:paraId="1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1224</w:t>
            </w:r>
          </w:p>
        </w:tc>
        <w:tc>
          <w:tcPr>
            <w:tcW w:type="dxa" w:w="2079"/>
            <w:shd w:fill="FCE3FC" w:val="clear"/>
          </w:tcPr>
          <w:p w14:paraId="1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1224</w:t>
            </w:r>
          </w:p>
        </w:tc>
      </w:tr>
    </w:tbl>
    <w:p w14:paraId="1E020000">
      <w:pPr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1F020000">
      <w:pPr>
        <w:rPr>
          <w:rFonts w:ascii="Times New Roman" w:hAnsi="Times New Roman"/>
        </w:rPr>
      </w:pPr>
      <w:r>
        <w:rPr>
          <w:rFonts w:ascii="Times New Roman" w:hAnsi="Times New Roman"/>
          <w:b w:val="1"/>
          <w:sz w:val="32"/>
        </w:rPr>
        <w:t>План внеурочной деятельности (недельный)</w:t>
      </w:r>
    </w:p>
    <w:p w14:paraId="20020000">
      <w:pPr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общеобразовательное учреждение «Чарлинская средняя школа» Кукморского муниципального района Республики Татарстан.</w:t>
      </w:r>
    </w:p>
    <w:tbl>
      <w:tblPr>
        <w:tblStyle w:val="Style_3"/>
        <w:tblLayout w:type="fixed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4158"/>
            <w:gridSpan w:val="2"/>
            <w:vMerge w:val="restart"/>
            <w:shd w:fill="D9D9D9" w:val="clear"/>
          </w:tcPr>
          <w:p w14:paraId="2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Учебные курсы</w:t>
            </w:r>
          </w:p>
          <w:p w14:paraId="22020000">
            <w:pPr>
              <w:rPr>
                <w:rFonts w:ascii="Times New Roman" w:hAnsi="Times New Roman"/>
              </w:rPr>
            </w:pPr>
          </w:p>
        </w:tc>
        <w:tc>
          <w:tcPr>
            <w:tcW w:type="dxa" w:w="10394"/>
            <w:gridSpan w:val="5"/>
            <w:shd w:fill="D9D9D9" w:val="clear"/>
          </w:tcPr>
          <w:p w14:paraId="2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Количество часов в неделю</w:t>
            </w:r>
          </w:p>
        </w:tc>
      </w:tr>
      <w:tr>
        <w:tc>
          <w:tcPr>
            <w:tcW w:type="dxa" w:w="4158"/>
            <w:gridSpan w:val="2"/>
            <w:vMerge w:val="continue"/>
            <w:shd w:fill="D9D9D9" w:val="clear"/>
          </w:tcPr>
          <w:p/>
        </w:tc>
        <w:tc>
          <w:tcPr>
            <w:tcW w:type="dxa" w:w="2079"/>
            <w:shd w:fill="D9D9D9" w:val="clear"/>
          </w:tcPr>
          <w:p w14:paraId="2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5</w:t>
            </w:r>
          </w:p>
        </w:tc>
        <w:tc>
          <w:tcPr>
            <w:tcW w:type="dxa" w:w="2079"/>
            <w:shd w:fill="D9D9D9" w:val="clear"/>
          </w:tcPr>
          <w:p w14:paraId="2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6</w:t>
            </w:r>
          </w:p>
        </w:tc>
        <w:tc>
          <w:tcPr>
            <w:tcW w:type="dxa" w:w="2079"/>
            <w:shd w:fill="D9D9D9" w:val="clear"/>
          </w:tcPr>
          <w:p w14:paraId="2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7</w:t>
            </w:r>
          </w:p>
        </w:tc>
        <w:tc>
          <w:tcPr>
            <w:tcW w:type="dxa" w:w="2079"/>
            <w:shd w:fill="D9D9D9" w:val="clear"/>
          </w:tcPr>
          <w:p w14:paraId="2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8</w:t>
            </w:r>
          </w:p>
        </w:tc>
        <w:tc>
          <w:tcPr>
            <w:tcW w:type="dxa" w:w="2079"/>
            <w:shd w:fill="D9D9D9" w:val="clear"/>
          </w:tcPr>
          <w:p w14:paraId="2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</w:rPr>
              <w:t>9</w:t>
            </w:r>
          </w:p>
        </w:tc>
      </w:tr>
      <w:tr>
        <w:tc>
          <w:tcPr>
            <w:tcW w:type="dxa" w:w="4158"/>
            <w:gridSpan w:val="2"/>
          </w:tcPr>
          <w:p w14:paraId="2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Разговор о важном</w:t>
            </w:r>
          </w:p>
        </w:tc>
        <w:tc>
          <w:tcPr>
            <w:tcW w:type="dxa" w:w="2079"/>
          </w:tcPr>
          <w:p w14:paraId="2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2B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2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2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2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</w:tcPr>
          <w:p w14:paraId="2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Функциональная грамотность</w:t>
            </w:r>
          </w:p>
        </w:tc>
        <w:tc>
          <w:tcPr>
            <w:tcW w:type="dxa" w:w="2079"/>
          </w:tcPr>
          <w:p w14:paraId="3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1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</w:tcPr>
          <w:p w14:paraId="35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профессий</w:t>
            </w:r>
          </w:p>
        </w:tc>
        <w:tc>
          <w:tcPr>
            <w:tcW w:type="dxa" w:w="2079"/>
          </w:tcPr>
          <w:p w14:paraId="3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9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</w:tcPr>
          <w:p w14:paraId="3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Бадминтон</w:t>
            </w:r>
          </w:p>
        </w:tc>
        <w:tc>
          <w:tcPr>
            <w:tcW w:type="dxa" w:w="2079"/>
          </w:tcPr>
          <w:p w14:paraId="3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3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3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3F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4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ЮИД</w:t>
            </w:r>
          </w:p>
        </w:tc>
        <w:tc>
          <w:tcPr>
            <w:tcW w:type="dxa" w:w="2079"/>
          </w:tcPr>
          <w:p w14:paraId="4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4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4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47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Тайны татарского языка</w:t>
            </w:r>
          </w:p>
        </w:tc>
        <w:tc>
          <w:tcPr>
            <w:tcW w:type="dxa" w:w="2079"/>
          </w:tcPr>
          <w:p w14:paraId="4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49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B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4D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Математика для всех</w:t>
            </w:r>
          </w:p>
        </w:tc>
        <w:tc>
          <w:tcPr>
            <w:tcW w:type="dxa" w:w="2079"/>
          </w:tcPr>
          <w:p w14:paraId="4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4F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5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1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53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Литературная шкатулка</w:t>
            </w:r>
          </w:p>
        </w:tc>
        <w:tc>
          <w:tcPr>
            <w:tcW w:type="dxa" w:w="2079"/>
          </w:tcPr>
          <w:p w14:paraId="5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5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59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Киноклуб</w:t>
            </w:r>
          </w:p>
        </w:tc>
        <w:tc>
          <w:tcPr>
            <w:tcW w:type="dxa" w:w="2079"/>
          </w:tcPr>
          <w:p w14:paraId="5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B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5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5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>
        <w:tc>
          <w:tcPr>
            <w:tcW w:type="dxa" w:w="4158"/>
            <w:gridSpan w:val="2"/>
          </w:tcPr>
          <w:p w14:paraId="5F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Основы журналистики</w:t>
            </w:r>
          </w:p>
        </w:tc>
        <w:tc>
          <w:tcPr>
            <w:tcW w:type="dxa" w:w="2079"/>
          </w:tcPr>
          <w:p w14:paraId="6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61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6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6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6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</w:tcPr>
          <w:p w14:paraId="65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к соревнованиям</w:t>
            </w:r>
          </w:p>
        </w:tc>
        <w:tc>
          <w:tcPr>
            <w:tcW w:type="dxa" w:w="2079"/>
          </w:tcPr>
          <w:p w14:paraId="6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type="dxa" w:w="2079"/>
          </w:tcPr>
          <w:p w14:paraId="67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8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9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079"/>
          </w:tcPr>
          <w:p w14:paraId="6A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c>
          <w:tcPr>
            <w:tcW w:type="dxa" w:w="4158"/>
            <w:gridSpan w:val="2"/>
          </w:tcPr>
          <w:p w14:paraId="6B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Социальные проекты</w:t>
            </w:r>
          </w:p>
        </w:tc>
        <w:tc>
          <w:tcPr>
            <w:tcW w:type="dxa" w:w="2079"/>
          </w:tcPr>
          <w:p w14:paraId="6C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2079"/>
          </w:tcPr>
          <w:p w14:paraId="6D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2079"/>
          </w:tcPr>
          <w:p w14:paraId="6E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79"/>
          </w:tcPr>
          <w:p w14:paraId="6F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079"/>
          </w:tcPr>
          <w:p w14:paraId="70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>
        <w:tc>
          <w:tcPr>
            <w:tcW w:type="dxa" w:w="4158"/>
            <w:gridSpan w:val="2"/>
            <w:shd w:fill="00FF00" w:val="clear"/>
          </w:tcPr>
          <w:p w14:paraId="7102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 недельная нагрузка</w:t>
            </w:r>
          </w:p>
        </w:tc>
        <w:tc>
          <w:tcPr>
            <w:tcW w:type="dxa" w:w="2079"/>
            <w:shd w:fill="00FF00" w:val="clear"/>
          </w:tcPr>
          <w:p w14:paraId="72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2079"/>
            <w:shd w:fill="00FF00" w:val="clear"/>
          </w:tcPr>
          <w:p w14:paraId="73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2079"/>
            <w:shd w:fill="00FF00" w:val="clear"/>
          </w:tcPr>
          <w:p w14:paraId="74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2079"/>
            <w:shd w:fill="00FF00" w:val="clear"/>
          </w:tcPr>
          <w:p w14:paraId="75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type="dxa" w:w="2079"/>
            <w:shd w:fill="00FF00" w:val="clear"/>
          </w:tcPr>
          <w:p w14:paraId="76020000">
            <w:pPr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</w:tbl>
    <w:p w14:paraId="77020000"/>
    <w:sectPr>
      <w:pgSz w:h="11900" w:orient="landscape" w:w="16820"/>
      <w:pgMar w:bottom="1134" w:footer="708" w:gutter="0" w:header="708" w:left="1134" w:right="1134" w:top="85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List Paragraph"/>
    <w:basedOn w:val="Style_4"/>
    <w:link w:val="Style_5_ch"/>
    <w:pPr>
      <w:ind w:firstLine="0" w:left="720"/>
      <w:contextualSpacing w:val="1"/>
    </w:pPr>
  </w:style>
  <w:style w:styleId="Style_5_ch" w:type="character">
    <w:name w:val="List Paragraph"/>
    <w:basedOn w:val="Style_4_ch"/>
    <w:link w:val="Style_5"/>
  </w:style>
  <w:style w:styleId="Style_6" w:type="paragraph">
    <w:name w:val="toc 2"/>
    <w:next w:val="Style_4"/>
    <w:link w:val="Style_6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6_ch" w:type="character">
    <w:name w:val="toc 2"/>
    <w:link w:val="Style_6"/>
    <w:rPr>
      <w:rFonts w:ascii="XO Thames" w:hAnsi="XO Thames"/>
      <w:sz w:val="28"/>
    </w:rPr>
  </w:style>
  <w:style w:styleId="Style_7" w:type="paragraph">
    <w:name w:val="toc 4"/>
    <w:next w:val="Style_4"/>
    <w:link w:val="Style_7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annotation subject"/>
    <w:basedOn w:val="Style_9"/>
    <w:next w:val="Style_9"/>
    <w:link w:val="Style_8_ch"/>
    <w:rPr>
      <w:b w:val="1"/>
    </w:rPr>
  </w:style>
  <w:style w:styleId="Style_8_ch" w:type="character">
    <w:name w:val="annotation subject"/>
    <w:basedOn w:val="Style_9_ch"/>
    <w:link w:val="Style_8"/>
    <w:rPr>
      <w:b w:val="1"/>
    </w:rPr>
  </w:style>
  <w:style w:styleId="Style_10" w:type="paragraph">
    <w:name w:val="toc 6"/>
    <w:next w:val="Style_4"/>
    <w:link w:val="Style_10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0_ch" w:type="character">
    <w:name w:val="toc 6"/>
    <w:link w:val="Style_10"/>
    <w:rPr>
      <w:rFonts w:ascii="XO Thames" w:hAnsi="XO Thames"/>
      <w:sz w:val="28"/>
    </w:rPr>
  </w:style>
  <w:style w:styleId="Style_11" w:type="paragraph">
    <w:name w:val="toc 7"/>
    <w:next w:val="Style_4"/>
    <w:link w:val="Style_11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1_ch" w:type="character">
    <w:name w:val="toc 7"/>
    <w:link w:val="Style_11"/>
    <w:rPr>
      <w:rFonts w:ascii="XO Thames" w:hAnsi="XO Thames"/>
      <w:sz w:val="28"/>
    </w:rPr>
  </w:style>
  <w:style w:styleId="Style_12" w:type="paragraph">
    <w:name w:val="heading 3"/>
    <w:basedOn w:val="Style_4"/>
    <w:link w:val="Style_12_ch"/>
    <w:uiPriority w:val="9"/>
    <w:qFormat/>
    <w:pPr>
      <w:spacing w:afterAutospacing="on" w:beforeAutospacing="on" w:line="240" w:lineRule="auto"/>
      <w:ind/>
      <w:outlineLvl w:val="2"/>
    </w:pPr>
    <w:rPr>
      <w:rFonts w:ascii="Times New Roman" w:hAnsi="Times New Roman"/>
      <w:b w:val="1"/>
      <w:sz w:val="27"/>
    </w:rPr>
  </w:style>
  <w:style w:styleId="Style_12_ch" w:type="character">
    <w:name w:val="heading 3"/>
    <w:basedOn w:val="Style_4_ch"/>
    <w:link w:val="Style_12"/>
    <w:rPr>
      <w:rFonts w:ascii="Times New Roman" w:hAnsi="Times New Roman"/>
      <w:b w:val="1"/>
      <w:sz w:val="27"/>
    </w:rPr>
  </w:style>
  <w:style w:styleId="Style_13" w:type="paragraph">
    <w:name w:val="annotation reference"/>
    <w:basedOn w:val="Style_14"/>
    <w:link w:val="Style_13_ch"/>
    <w:rPr>
      <w:sz w:val="16"/>
    </w:rPr>
  </w:style>
  <w:style w:styleId="Style_13_ch" w:type="character">
    <w:name w:val="annotation reference"/>
    <w:basedOn w:val="Style_14_ch"/>
    <w:link w:val="Style_13"/>
    <w:rPr>
      <w:sz w:val="16"/>
    </w:rPr>
  </w:style>
  <w:style w:styleId="Style_15" w:type="paragraph">
    <w:name w:val="Balloon Text"/>
    <w:basedOn w:val="Style_4"/>
    <w:link w:val="Style_15_ch"/>
    <w:pPr>
      <w:spacing w:after="0" w:line="240" w:lineRule="auto"/>
      <w:ind/>
    </w:pPr>
    <w:rPr>
      <w:rFonts w:ascii="Segoe UI" w:hAnsi="Segoe UI"/>
      <w:sz w:val="18"/>
    </w:rPr>
  </w:style>
  <w:style w:styleId="Style_15_ch" w:type="character">
    <w:name w:val="Balloon Text"/>
    <w:basedOn w:val="Style_4_ch"/>
    <w:link w:val="Style_15"/>
    <w:rPr>
      <w:rFonts w:ascii="Segoe UI" w:hAnsi="Segoe UI"/>
      <w:sz w:val="18"/>
    </w:rPr>
  </w:style>
  <w:style w:styleId="Style_16" w:type="paragraph">
    <w:name w:val="toc 3"/>
    <w:next w:val="Style_4"/>
    <w:link w:val="Style_16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1" w:type="paragraph">
    <w:name w:val="markedcontent"/>
    <w:basedOn w:val="Style_14"/>
    <w:link w:val="Style_1_ch"/>
  </w:style>
  <w:style w:styleId="Style_1_ch" w:type="character">
    <w:name w:val="markedcontent"/>
    <w:basedOn w:val="Style_14_ch"/>
    <w:link w:val="Style_1"/>
  </w:style>
  <w:style w:styleId="Style_17" w:type="paragraph">
    <w:name w:val="heading 5"/>
    <w:next w:val="Style_4"/>
    <w:link w:val="Style_17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heading 1"/>
    <w:next w:val="Style_4"/>
    <w:link w:val="Style_18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8_ch" w:type="character">
    <w:name w:val="heading 1"/>
    <w:link w:val="Style_18"/>
    <w:rPr>
      <w:rFonts w:ascii="XO Thames" w:hAnsi="XO Thames"/>
      <w:b w:val="1"/>
      <w:sz w:val="32"/>
    </w:rPr>
  </w:style>
  <w:style w:styleId="Style_19" w:type="paragraph">
    <w:name w:val="Hyperlink"/>
    <w:link w:val="Style_19_ch"/>
    <w:rPr>
      <w:color w:val="0000FF"/>
      <w:u w:val="single"/>
    </w:rPr>
  </w:style>
  <w:style w:styleId="Style_19_ch" w:type="character">
    <w:name w:val="Hyperlink"/>
    <w:link w:val="Style_19"/>
    <w:rPr>
      <w:color w:val="0000FF"/>
      <w:u w:val="single"/>
    </w:rPr>
  </w:style>
  <w:style w:styleId="Style_20" w:type="paragraph">
    <w:name w:val="Footnote"/>
    <w:link w:val="Style_20_ch"/>
    <w:pPr>
      <w:ind w:firstLine="851" w:left="0"/>
      <w:jc w:val="both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toc 1"/>
    <w:next w:val="Style_4"/>
    <w:link w:val="Style_21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1_ch" w:type="character">
    <w:name w:val="toc 1"/>
    <w:link w:val="Style_21"/>
    <w:rPr>
      <w:rFonts w:ascii="XO Thames" w:hAnsi="XO Thames"/>
      <w:b w:val="1"/>
      <w:sz w:val="28"/>
    </w:rPr>
  </w:style>
  <w:style w:styleId="Style_22" w:type="paragraph">
    <w:name w:val="Header and Footer"/>
    <w:link w:val="Style_22_ch"/>
    <w:pPr>
      <w:spacing w:line="240" w:lineRule="auto"/>
      <w:ind/>
      <w:jc w:val="both"/>
    </w:pPr>
    <w:rPr>
      <w:rFonts w:ascii="XO Thames" w:hAnsi="XO Thames"/>
      <w:sz w:val="20"/>
    </w:rPr>
  </w:style>
  <w:style w:styleId="Style_22_ch" w:type="character">
    <w:name w:val="Header and Footer"/>
    <w:link w:val="Style_22"/>
    <w:rPr>
      <w:rFonts w:ascii="XO Thames" w:hAnsi="XO Thames"/>
      <w:sz w:val="20"/>
    </w:rPr>
  </w:style>
  <w:style w:styleId="Style_9" w:type="paragraph">
    <w:name w:val="annotation text"/>
    <w:basedOn w:val="Style_4"/>
    <w:link w:val="Style_9_ch"/>
    <w:pPr>
      <w:spacing w:line="240" w:lineRule="auto"/>
      <w:ind/>
    </w:pPr>
    <w:rPr>
      <w:sz w:val="20"/>
    </w:rPr>
  </w:style>
  <w:style w:styleId="Style_9_ch" w:type="character">
    <w:name w:val="annotation text"/>
    <w:basedOn w:val="Style_4_ch"/>
    <w:link w:val="Style_9"/>
    <w:rPr>
      <w:sz w:val="20"/>
    </w:rPr>
  </w:style>
  <w:style w:styleId="Style_23" w:type="paragraph">
    <w:name w:val="toc 9"/>
    <w:next w:val="Style_4"/>
    <w:link w:val="Style_23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3_ch" w:type="character">
    <w:name w:val="toc 9"/>
    <w:link w:val="Style_23"/>
    <w:rPr>
      <w:rFonts w:ascii="XO Thames" w:hAnsi="XO Thames"/>
      <w:sz w:val="28"/>
    </w:rPr>
  </w:style>
  <w:style w:styleId="Style_24" w:type="paragraph">
    <w:name w:val="toc 8"/>
    <w:next w:val="Style_4"/>
    <w:link w:val="Style_24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4_ch" w:type="character">
    <w:name w:val="toc 8"/>
    <w:link w:val="Style_24"/>
    <w:rPr>
      <w:rFonts w:ascii="XO Thames" w:hAnsi="XO Thames"/>
      <w:sz w:val="28"/>
    </w:rPr>
  </w:style>
  <w:style w:styleId="Style_25" w:type="paragraph">
    <w:name w:val="toc 5"/>
    <w:next w:val="Style_4"/>
    <w:link w:val="Style_25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5_ch" w:type="character">
    <w:name w:val="toc 5"/>
    <w:link w:val="Style_25"/>
    <w:rPr>
      <w:rFonts w:ascii="XO Thames" w:hAnsi="XO Thames"/>
      <w:sz w:val="28"/>
    </w:rPr>
  </w:style>
  <w:style w:styleId="Style_14" w:type="paragraph">
    <w:name w:val="Default Paragraph Font"/>
    <w:link w:val="Style_14_ch"/>
  </w:style>
  <w:style w:styleId="Style_14_ch" w:type="character">
    <w:name w:val="Default Paragraph Font"/>
    <w:link w:val="Style_14"/>
  </w:style>
  <w:style w:styleId="Style_26" w:type="paragraph">
    <w:name w:val="Subtitle"/>
    <w:next w:val="Style_4"/>
    <w:link w:val="Style_26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6_ch" w:type="character">
    <w:name w:val="Subtitle"/>
    <w:link w:val="Style_26"/>
    <w:rPr>
      <w:rFonts w:ascii="XO Thames" w:hAnsi="XO Thames"/>
      <w:i w:val="1"/>
      <w:sz w:val="24"/>
    </w:rPr>
  </w:style>
  <w:style w:styleId="Style_27" w:type="paragraph">
    <w:name w:val="toc 10"/>
    <w:next w:val="Style_4"/>
    <w:link w:val="Style_27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7_ch" w:type="character">
    <w:name w:val="toc 10"/>
    <w:link w:val="Style_27"/>
    <w:rPr>
      <w:rFonts w:ascii="XO Thames" w:hAnsi="XO Thames"/>
      <w:sz w:val="28"/>
    </w:rPr>
  </w:style>
  <w:style w:styleId="Style_28" w:type="paragraph">
    <w:name w:val="Title"/>
    <w:next w:val="Style_4"/>
    <w:link w:val="Style_2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8_ch" w:type="character">
    <w:name w:val="Title"/>
    <w:link w:val="Style_28"/>
    <w:rPr>
      <w:rFonts w:ascii="XO Thames" w:hAnsi="XO Thames"/>
      <w:b w:val="1"/>
      <w:caps w:val="1"/>
      <w:sz w:val="40"/>
    </w:rPr>
  </w:style>
  <w:style w:styleId="Style_29" w:type="paragraph">
    <w:name w:val="heading 4"/>
    <w:next w:val="Style_4"/>
    <w:link w:val="Style_2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9_ch" w:type="character">
    <w:name w:val="heading 4"/>
    <w:link w:val="Style_29"/>
    <w:rPr>
      <w:rFonts w:ascii="XO Thames" w:hAnsi="XO Thames"/>
      <w:b w:val="1"/>
      <w:sz w:val="24"/>
    </w:rPr>
  </w:style>
  <w:style w:styleId="Style_30" w:type="paragraph">
    <w:name w:val="heading 2"/>
    <w:next w:val="Style_4"/>
    <w:link w:val="Style_3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0_ch" w:type="character">
    <w:name w:val="heading 2"/>
    <w:link w:val="Style_30"/>
    <w:rPr>
      <w:rFonts w:ascii="XO Thames" w:hAnsi="XO Thames"/>
      <w:b w:val="1"/>
      <w:sz w:val="28"/>
    </w:rPr>
  </w:style>
  <w:style w:styleId="Style_3" w:type="table">
    <w:name w:val="Table Grid"/>
    <w:basedOn w:val="Style_2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2023-09-08T07:17:22Z</dcterms:modified>
</cp:coreProperties>
</file>