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ind w:left="260" w:right="1220"/>
        <w:spacing w:after="0" w:line="23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48"/>
          <w:szCs w:val="48"/>
          <w:b w:val="1"/>
          <w:bCs w:val="1"/>
          <w:color w:val="auto"/>
        </w:rPr>
        <w:t>Стипендии и иные виды материальной поддержки</w:t>
      </w:r>
    </w:p>
    <w:p>
      <w:pPr>
        <w:spacing w:after="0" w:line="303" w:lineRule="exact"/>
        <w:rPr>
          <w:sz w:val="24"/>
          <w:szCs w:val="24"/>
          <w:color w:val="auto"/>
        </w:rPr>
      </w:pPr>
    </w:p>
    <w:p>
      <w:pPr>
        <w:ind w:left="260"/>
        <w:spacing w:after="0" w:line="241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5"/>
          <w:szCs w:val="35"/>
          <w:b w:val="1"/>
          <w:bCs w:val="1"/>
          <w:color w:val="auto"/>
        </w:rPr>
        <w:t xml:space="preserve">Меры социальной поддержки для родителей </w:t>
      </w:r>
      <w:r>
        <w:rPr>
          <w:rFonts w:ascii="Times New Roman" w:cs="Times New Roman" w:eastAsia="Times New Roman" w:hAnsi="Times New Roman"/>
          <w:sz w:val="35"/>
          <w:szCs w:val="35"/>
          <w:b w:val="1"/>
          <w:bCs w:val="1"/>
          <w:color w:val="auto"/>
        </w:rPr>
        <w:t>(</w:t>
      </w:r>
      <w:r>
        <w:rPr>
          <w:rFonts w:ascii="Times New Roman" w:cs="Times New Roman" w:eastAsia="Times New Roman" w:hAnsi="Times New Roman"/>
          <w:sz w:val="35"/>
          <w:szCs w:val="35"/>
          <w:b w:val="1"/>
          <w:bCs w:val="1"/>
          <w:color w:val="auto"/>
        </w:rPr>
        <w:t>законных представителей</w:t>
      </w:r>
      <w:r>
        <w:rPr>
          <w:rFonts w:ascii="Times New Roman" w:cs="Times New Roman" w:eastAsia="Times New Roman" w:hAnsi="Times New Roman"/>
          <w:sz w:val="35"/>
          <w:szCs w:val="35"/>
          <w:b w:val="1"/>
          <w:bCs w:val="1"/>
          <w:color w:val="auto"/>
        </w:rPr>
        <w:t>)</w:t>
      </w:r>
      <w:r>
        <w:rPr>
          <w:rFonts w:ascii="Times New Roman" w:cs="Times New Roman" w:eastAsia="Times New Roman" w:hAnsi="Times New Roman"/>
          <w:sz w:val="35"/>
          <w:szCs w:val="35"/>
          <w:b w:val="1"/>
          <w:bCs w:val="1"/>
          <w:color w:val="auto"/>
        </w:rPr>
        <w:t xml:space="preserve"> воспитанников</w:t>
      </w:r>
      <w:r>
        <w:rPr>
          <w:rFonts w:ascii="Times New Roman" w:cs="Times New Roman" w:eastAsia="Times New Roman" w:hAnsi="Times New Roman"/>
          <w:sz w:val="35"/>
          <w:szCs w:val="35"/>
          <w:b w:val="1"/>
          <w:bCs w:val="1"/>
          <w:color w:val="auto"/>
        </w:rPr>
        <w:t>:</w:t>
      </w:r>
      <w:r>
        <w:rPr>
          <w:rFonts w:ascii="Times New Roman" w:cs="Times New Roman" w:eastAsia="Times New Roman" w:hAnsi="Times New Roman"/>
          <w:sz w:val="35"/>
          <w:szCs w:val="35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35"/>
          <w:szCs w:val="35"/>
          <w:color w:val="auto"/>
        </w:rPr>
        <w:t>предоставление</w:t>
      </w:r>
      <w:r>
        <w:rPr>
          <w:rFonts w:ascii="Times New Roman" w:cs="Times New Roman" w:eastAsia="Times New Roman" w:hAnsi="Times New Roman"/>
          <w:sz w:val="35"/>
          <w:szCs w:val="35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35"/>
          <w:szCs w:val="35"/>
          <w:color w:val="auto"/>
        </w:rPr>
        <w:t>компенсации части родительской платы за содержание ребѐнка</w:t>
      </w:r>
    </w:p>
    <w:p>
      <w:pPr>
        <w:spacing w:after="0" w:line="20" w:lineRule="exact"/>
        <w:rPr>
          <w:sz w:val="24"/>
          <w:szCs w:val="24"/>
          <w:color w:val="auto"/>
        </w:rPr>
      </w:pPr>
    </w:p>
    <w:p>
      <w:pPr>
        <w:ind w:left="260" w:right="320" w:firstLine="1"/>
        <w:spacing w:after="0" w:line="236" w:lineRule="auto"/>
        <w:tabs>
          <w:tab w:leader="none" w:pos="520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36"/>
          <w:szCs w:val="36"/>
          <w:color w:val="auto"/>
        </w:rPr>
      </w:pPr>
      <w:r>
        <w:rPr>
          <w:rFonts w:ascii="Times New Roman" w:cs="Times New Roman" w:eastAsia="Times New Roman" w:hAnsi="Times New Roman"/>
          <w:sz w:val="36"/>
          <w:szCs w:val="36"/>
          <w:color w:val="auto"/>
        </w:rPr>
        <w:t>государственных и муниципальных образовательных учреждениях</w:t>
      </w:r>
      <w:r>
        <w:rPr>
          <w:rFonts w:ascii="Times New Roman" w:cs="Times New Roman" w:eastAsia="Times New Roman" w:hAnsi="Times New Roman"/>
          <w:sz w:val="36"/>
          <w:szCs w:val="36"/>
          <w:color w:val="auto"/>
        </w:rPr>
        <w:t>,</w:t>
      </w:r>
      <w:r>
        <w:rPr>
          <w:rFonts w:ascii="Times New Roman" w:cs="Times New Roman" w:eastAsia="Times New Roman" w:hAnsi="Times New Roman"/>
          <w:sz w:val="36"/>
          <w:szCs w:val="36"/>
          <w:color w:val="auto"/>
        </w:rPr>
        <w:t xml:space="preserve"> реализующих основную общеобразовательную программу дошкольного образования</w:t>
      </w:r>
      <w:r>
        <w:rPr>
          <w:rFonts w:ascii="Times New Roman" w:cs="Times New Roman" w:eastAsia="Times New Roman" w:hAnsi="Times New Roman"/>
          <w:sz w:val="36"/>
          <w:szCs w:val="36"/>
          <w:color w:val="auto"/>
        </w:rPr>
        <w:t>.</w:t>
      </w:r>
    </w:p>
    <w:p>
      <w:pPr>
        <w:spacing w:after="0" w:line="293" w:lineRule="exact"/>
        <w:rPr>
          <w:sz w:val="24"/>
          <w:szCs w:val="24"/>
          <w:color w:val="auto"/>
        </w:rPr>
      </w:pPr>
    </w:p>
    <w:p>
      <w:pPr>
        <w:ind w:left="2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>Размер компенсации составляет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>:</w:t>
      </w:r>
    </w:p>
    <w:p>
      <w:pPr>
        <w:spacing w:after="0" w:line="282" w:lineRule="exact"/>
        <w:rPr>
          <w:sz w:val="24"/>
          <w:szCs w:val="24"/>
          <w:color w:val="auto"/>
        </w:rPr>
      </w:pPr>
    </w:p>
    <w:p>
      <w:pPr>
        <w:ind w:left="1020" w:hanging="759"/>
        <w:spacing w:after="0"/>
        <w:tabs>
          <w:tab w:leader="none" w:pos="1020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 xml:space="preserve">на первого ребѐнка 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>–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>20%</w:t>
      </w:r>
    </w:p>
    <w:p>
      <w:pPr>
        <w:spacing w:after="0" w:line="278" w:lineRule="exact"/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</w:pPr>
    </w:p>
    <w:p>
      <w:pPr>
        <w:ind w:left="1020" w:hanging="759"/>
        <w:spacing w:after="0"/>
        <w:tabs>
          <w:tab w:leader="none" w:pos="1020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 xml:space="preserve">на второго ребѐнка 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>–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>50%</w:t>
      </w:r>
    </w:p>
    <w:p>
      <w:pPr>
        <w:spacing w:after="0" w:line="300" w:lineRule="exact"/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</w:pPr>
    </w:p>
    <w:p>
      <w:pPr>
        <w:ind w:left="260" w:right="1060" w:firstLine="1"/>
        <w:spacing w:after="0" w:line="234" w:lineRule="auto"/>
        <w:tabs>
          <w:tab w:leader="none" w:pos="1012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 xml:space="preserve">на третьего и последующих детей 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>– 70%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 xml:space="preserve"> размера родительской платы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color w:val="auto"/>
        </w:rPr>
        <w:t>.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57" w:lineRule="exact"/>
        <w:rPr>
          <w:sz w:val="24"/>
          <w:szCs w:val="24"/>
          <w:color w:val="auto"/>
        </w:rPr>
      </w:pPr>
    </w:p>
    <w:p>
      <w:pPr>
        <w:ind w:left="260" w:right="120"/>
        <w:spacing w:after="0" w:line="23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u w:val="single" w:color="auto"/>
          <w:color w:val="auto"/>
        </w:rPr>
        <w:t>Примечание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u w:val="single" w:color="auto"/>
          <w:color w:val="auto"/>
        </w:rPr>
        <w:t>: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 xml:space="preserve"> В дошкольных образовательных организациях стипендии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>,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 xml:space="preserve"> общежитие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>,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 xml:space="preserve"> интернат 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>(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>и другие жилые помещения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>)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 xml:space="preserve"> и трудоустройство выпускников не предусмотрены</w:t>
      </w:r>
      <w:r>
        <w:rPr>
          <w:rFonts w:ascii="Times New Roman" w:cs="Times New Roman" w:eastAsia="Times New Roman" w:hAnsi="Times New Roman"/>
          <w:sz w:val="36"/>
          <w:szCs w:val="36"/>
          <w:b w:val="1"/>
          <w:bCs w:val="1"/>
          <w:i w:val="1"/>
          <w:iCs w:val="1"/>
          <w:color w:val="auto"/>
        </w:rPr>
        <w:t>.</w:t>
      </w:r>
    </w:p>
    <w:sectPr>
      <w:pgSz w:w="11900" w:h="16836" w:orient="portrait"/>
      <w:cols w:equalWidth="0" w:num="1">
        <w:col w:w="10040"/>
      </w:cols>
      <w:pgMar w:left="1440" w:top="1149" w:right="428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="http://schemas.openxmlformats.org/wordprocessingml/2006/main">
  <w:abstractNum w:abstractNumId="0">
    <w:nsid w:val="4AE1"/>
    <w:multiLevelType w:val="hybridMultilevel"/>
    <w:lvl w:ilvl="0">
      <w:lvlJc w:val="left"/>
      <w:lvlText w:val="в"/>
      <w:numFmt w:val="bullet"/>
      <w:start w:val="1"/>
    </w:lvl>
  </w:abstractNum>
  <w:abstractNum w:abstractNumId="1">
    <w:nsid w:val="3D6C"/>
    <w:multiLevelType w:val="hybridMultilevel"/>
    <w:lvl w:ilvl="0">
      <w:lvlJc w:val="left"/>
      <w:lvlText w:val="·"/>
      <w:numFmt w:val="bullet"/>
      <w:start w:val="1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2020-07-08T12:38:26Z</dcterms:created>
  <dcterms:modified xsi:type="dcterms:W3CDTF">2020-07-08T12:38:26Z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