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Минобрнауки России от 02.08.2013 N 850</w:t>
              <w:br/>
              <w:t xml:space="preserve">(ред. от 01.09.2022)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131003.04 Машинист на буровых установках"</w:t>
              <w:br/>
              <w:t xml:space="preserve">(Зарегистрировано в Минюсте России 20.08.2013 N 29570)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16.12.2022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20 августа 2013 г. N 29570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ОБРАЗОВАНИЯ И НАУКИ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2 августа 2013 г. N 850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0"/>
        </w:rPr>
        <w:t xml:space="preserve">131003.04 МАШИНИСТ НА БУРОВЫХ УСТАНОВКАХ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7" w:tooltip="Приказ Минобрнауки России от 09.04.2015 N 391 (ред. от 03.12.2019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05.2015 N 37276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Минобрнауки России от 09.04.2015 N 391,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Приказов Минпросвещения России от 13.07.2021 </w:t>
            </w:r>
            <w:hyperlink w:history="0" r:id="rId8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sz w:val="20"/>
                  <w:color w:val="0000ff"/>
                </w:rPr>
                <w:t xml:space="preserve">N 450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01.09.2022 </w:t>
            </w:r>
            <w:hyperlink w:history="0" r:id="rId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      <w:r>
                <w:rPr>
                  <w:sz w:val="20"/>
                  <w:color w:val="0000ff"/>
                </w:rPr>
                <w:t xml:space="preserve">N 796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r>
        <w:rPr>
          <w:sz w:val="20"/>
        </w:rPr>
        <w:t xml:space="preserve">пунктом 5.2.41</w:t>
      </w:r>
      <w:r>
        <w:rPr>
          <w:sz w:val="20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7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профессии 131003.04 Машинист на буровых установках.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Признать утратившим силу </w:t>
      </w:r>
      <w:hyperlink w:history="0" r:id="rId10" w:tooltip="Приказ Минобрнауки РФ от 20.04.2010 N 398 &quot;Об утверждении и введении в действие федерального государственного образовательного стандарта начального профессионального образования по профессии 131003.04 Машинист на буровых установках&quot; (Зарегистрировано в Минюсте РФ 01.06.2010 N 17424)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Министерства образования и науки Российской Федерации от 20 апреля 2010 г. N 398 "Об утверждении и введении в действие федерального государственного образовательного стандарта начального профессионального образования по профессии 131003.04 Машинист на буровых установках" (зарегистрирован Министерством юстиции Российской Федерации 1 июня 2010 г., регистрационный N 17424).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Настоящий приказ вступает в силу с 1 сентября 2013 года.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Д.В.ЛИВАНОВ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образования</w:t>
      </w:r>
    </w:p>
    <w:p>
      <w:pPr>
        <w:pStyle w:val="0"/>
        <w:jc w:val="right"/>
      </w:pPr>
      <w:r>
        <w:rPr>
          <w:sz w:val="20"/>
        </w:rPr>
        <w:t xml:space="preserve">и науки 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 августа 2013 г. N 850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7" w:name="P37"/>
    <w:bookmarkEnd w:id="37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ПРОФЕССИИ</w:t>
      </w:r>
    </w:p>
    <w:p>
      <w:pPr>
        <w:pStyle w:val="2"/>
        <w:jc w:val="center"/>
      </w:pPr>
      <w:r>
        <w:rPr>
          <w:sz w:val="20"/>
        </w:rPr>
        <w:t xml:space="preserve">131003.04 МАШИНИСТ НА БУРОВЫХ УСТАНОВКАХ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11" w:tooltip="Приказ Минобрнауки России от 09.04.2015 N 391 (ред. от 03.12.2019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05.2015 N 37276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Минобрнауки России от 09.04.2015 N 391,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Приказов Минпросвещения России от 13.07.2021 </w:t>
            </w:r>
            <w:hyperlink w:history="0" r:id="rId12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      <w:r>
                <w:rPr>
                  <w:sz w:val="20"/>
                  <w:color w:val="0000ff"/>
                </w:rPr>
                <w:t xml:space="preserve">N 450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01.09.2022 </w:t>
            </w:r>
            <w:hyperlink w:history="0" r:id="rId13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      <w:r>
                <w:rPr>
                  <w:sz w:val="20"/>
                  <w:color w:val="0000ff"/>
                </w:rPr>
                <w:t xml:space="preserve">N 796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ОБЛАСТЬ ПРИМЕНЕНИЯ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профессии 131003.04 Машинист на буровых установках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квалифицированных рабочих, служащих по данной профессии, на территории Российской Федерации (далее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Право на реализацию программы подготовки квалифицированных рабочих, служащих по профессии 131003.04 Машинист на буровых установках имеет образовательная организация при наличии соответствующей лицензии на осуществление образовательной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Возможна сетевая форма реализации программы подготовки квалифицированных рабочих, служащих с использованием ресурсов нескольких образовательных организаций. В реализации программы подготовки квалифицированных рабочих, служащих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квалифицированных рабочих, служащих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4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1 статьи 15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jc w:val="both"/>
      </w:pPr>
      <w:r>
        <w:rPr>
          <w:sz w:val="20"/>
        </w:rPr>
        <w:t xml:space="preserve">(п. 1.3 введен </w:t>
      </w:r>
      <w:hyperlink w:history="0" r:id="rId15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13.07.2021 N 450)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>
      <w:pPr>
        <w:pStyle w:val="0"/>
        <w:jc w:val="both"/>
      </w:pPr>
      <w:r>
        <w:rPr>
          <w:sz w:val="20"/>
        </w:rPr>
        <w:t xml:space="preserve">(п. 1.4 введен </w:t>
      </w:r>
      <w:hyperlink w:history="0" r:id="rId16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13.07.2021 N 450)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ИСПОЛЬЗУЕМЫЕ СОКРАЩЕНИЯ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настоящем стандарте используются следующие сокращения: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 - среднее профессиональное образование;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ФГОС СПО - федеральный государственный образовательный стандарт среднего профессионального образования;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ППКРС - программа подготовки квалифицированных рабочих, служащих по профессии;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- общая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- профессиональная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ПМ - профессиональный модуль;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МДК - междисциплинарный курс.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III. ХАРАКТЕРИСТИКА ПОДГОТОВКИ ПО ПРОФЕССИИ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Сроки получения СПО по профессии 131003.04 Машинист на буровых установках в очной форме обучения и соответствующие квалификации приводятся в Таблице 1.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1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359"/>
        <w:gridCol w:w="4195"/>
        <w:gridCol w:w="2494"/>
      </w:tblGrid>
      <w:tr>
        <w:tc>
          <w:tcPr>
            <w:tcW w:w="235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образования, необходимый для приема на обучение по ППКРС</w:t>
            </w:r>
          </w:p>
        </w:tc>
        <w:tc>
          <w:tcPr>
            <w:tcW w:w="419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квалификации (профессий по Общероссийскому </w:t>
            </w:r>
            <w:hyperlink w:history="0" r:id="rId17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0"/>
                  <w:color w:val="0000ff"/>
                </w:rPr>
                <w:t xml:space="preserve">классификатору</w:t>
              </w:r>
            </w:hyperlink>
            <w:r>
              <w:rPr>
                <w:sz w:val="20"/>
              </w:rPr>
              <w:t xml:space="preserve"> профессий рабочих, должностей служащих и тарифных разрядов) (ОК 016-94) </w:t>
            </w:r>
            <w:hyperlink w:history="0" w:anchor="P88" w:tooltip="&lt;2&gt; ФГОС СПО в части требований к результатам освоения ППКРС ориентирован на присвоение выпускнику квалификации выше средней квалификации для данной профессии.">
              <w:r>
                <w:rPr>
                  <w:sz w:val="20"/>
                  <w:color w:val="0000ff"/>
                </w:rPr>
                <w:t xml:space="preserve">&lt;2&gt;</w:t>
              </w:r>
            </w:hyperlink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 получения СПО по ППКРС в очной форме обучения </w:t>
            </w:r>
            <w:hyperlink w:history="0" w:anchor="P89" w:tooltip="&lt;3&gt; Независимо от применяемых образовательных технологий.">
              <w:r>
                <w:rPr>
                  <w:sz w:val="20"/>
                  <w:color w:val="0000ff"/>
                </w:rPr>
                <w:t xml:space="preserve">&lt;3&gt;</w:t>
              </w:r>
            </w:hyperlink>
          </w:p>
        </w:tc>
      </w:tr>
      <w:tr>
        <w:tc>
          <w:tcPr>
            <w:tcW w:w="2359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W w:w="4195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Машинист буровых установок на нефть и газ</w:t>
            </w:r>
          </w:p>
          <w:p>
            <w:pPr>
              <w:pStyle w:val="0"/>
            </w:pPr>
            <w:r>
              <w:rPr>
                <w:sz w:val="20"/>
              </w:rPr>
              <w:t xml:space="preserve">Машинист подъемника</w:t>
            </w:r>
          </w:p>
          <w:p>
            <w:pPr>
              <w:pStyle w:val="0"/>
            </w:pPr>
            <w:r>
              <w:rPr>
                <w:sz w:val="20"/>
              </w:rPr>
              <w:t xml:space="preserve">Слесарь по обслуживанию буровых</w:t>
            </w:r>
          </w:p>
        </w:tc>
        <w:tc>
          <w:tcPr>
            <w:tcW w:w="2494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 мес.</w:t>
            </w:r>
          </w:p>
        </w:tc>
      </w:tr>
      <w:tr>
        <w:tblPrEx>
          <w:tblBorders>
            <w:insideH w:val="nil"/>
          </w:tblBorders>
        </w:tblPrEx>
        <w:tc>
          <w:tcPr>
            <w:tcW w:w="2359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Borders>
              <w:bottom w:val="nil"/>
            </w:tcBorders>
            <w:vMerge w:val="continue"/>
          </w:tcPr>
          <w:p/>
        </w:tc>
        <w:tc>
          <w:tcPr>
            <w:tcW w:w="2494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 год 10 мес. </w:t>
            </w:r>
            <w:hyperlink w:history="0" w:anchor="P90" w:tooltip="&lt;4&gt; Образовательные организации, осуществляющие подготовку квалифицированных рабочих, служащих на базе основного общего образования, реализуют федеральный государственный образовательный стандарт среднего общего образования в пределах ППКРС, в том числе с учетом получаемой профессии СПО.">
              <w:r>
                <w:rPr>
                  <w:sz w:val="20"/>
                  <w:color w:val="0000ff"/>
                </w:rPr>
                <w:t xml:space="preserve">&lt;4&gt;</w:t>
              </w:r>
            </w:hyperlink>
          </w:p>
        </w:tc>
      </w:tr>
      <w:tr>
        <w:tblPrEx>
          <w:tblBorders>
            <w:insideH w:val="nil"/>
          </w:tblBorders>
        </w:tblPrEx>
        <w:tc>
          <w:tcPr>
            <w:gridSpan w:val="3"/>
            <w:tcW w:w="9048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(в ред. </w:t>
            </w:r>
            <w:hyperlink w:history="0" r:id="rId18" w:tooltip="Приказ Минобрнауки России от 09.04.2015 N 391 (ред. от 03.12.2019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05.2015 N 37276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</w:rPr>
              <w:t xml:space="preserve"> Минобрнауки России от 09.04.2015 N 391, </w:t>
            </w:r>
            <w:hyperlink w:history="0" r:id="rId1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</w:rPr>
              <w:t xml:space="preserve"> Минпросвещения России от 01.09.2022 N 796)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88" w:name="P88"/>
    <w:bookmarkEnd w:id="8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ФГОС СПО в части требований к результатам освоения ППКРС ориентирован на присвоение выпускнику квалификации выше средней квалификации для данной профессии.</w:t>
      </w:r>
    </w:p>
    <w:bookmarkStart w:id="89" w:name="P89"/>
    <w:bookmarkEnd w:id="89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Независимо от применяемых образовательных технологий.</w:t>
      </w:r>
    </w:p>
    <w:bookmarkStart w:id="90" w:name="P90"/>
    <w:bookmarkEnd w:id="90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Образовательные организации, осуществляющие подготовку квалифицированных рабочих, служащих на базе основного общего образования, реализуют федеральный государственный образовательный стандарт среднего общего образования в пределах ППКРС, в том числе с учетом получаемой профессии СПО.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92" w:name="P92"/>
    <w:bookmarkEnd w:id="92"/>
    <w:p>
      <w:pPr>
        <w:pStyle w:val="0"/>
        <w:ind w:firstLine="540"/>
        <w:jc w:val="both"/>
      </w:pPr>
      <w:r>
        <w:rPr>
          <w:sz w:val="20"/>
        </w:rPr>
        <w:t xml:space="preserve">3.2. Рекомендуемый перечень возможных сочетаний профессий рабочих, должностей служащих по Общероссийскому </w:t>
      </w:r>
      <w:hyperlink w:history="0" r:id="rId20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<w:r>
          <w:rPr>
            <w:sz w:val="20"/>
            <w:color w:val="0000ff"/>
          </w:rPr>
          <w:t xml:space="preserve">классификатору</w:t>
        </w:r>
      </w:hyperlink>
      <w:r>
        <w:rPr>
          <w:sz w:val="20"/>
        </w:rPr>
        <w:t xml:space="preserve"> профессий рабочих, должностей служащих и тарифных разрядов (ОК 016-94) при формировании ППКРС: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машинист буровых установок на нефть и газ - машинист подъемника;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машинист подъемника - слесарь по обслуживанию буровых;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слесарь по обслуживанию буровых - машинист буровых установок на нефть и газ.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Сроки получения СПО по ППКРС независимо от применяемых образовательных технологий увеличиваются: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для обучающихся по очно-заочной форме обучения: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не более чем на 1 год;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не более чем на 1,5 года;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для инвалидов и лиц с ограниченными возможностями здоровья - не более чем на 6 месяцев.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ХАРАКТЕРИСТИКА ПРОФЕССИОНАЛЬНОЙ</w:t>
      </w:r>
    </w:p>
    <w:p>
      <w:pPr>
        <w:pStyle w:val="2"/>
        <w:jc w:val="center"/>
      </w:pPr>
      <w:r>
        <w:rPr>
          <w:sz w:val="20"/>
        </w:rPr>
        <w:t xml:space="preserve">ДЕЯТЕЛЬНОСТИ ВЫПУСКНИКОВ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Область профессиональной деятельности выпускников: проведение под руководством лиц технического надзора буровых работ при разведке и разработке месторождений нефти и газа, участие в управлении и техническое обслуживание комплекса буровых машин, механизмов и другого оборудования.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Объектами профессиональной деятельности выпускников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оборудование буровых установок, вспомогательные системы, контрольно-измерительные приборы и автоматика, подъемно-транспортное оборудование;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технологические процессы ремонта и технической эксплуатации бурового и подъемно-транспортного оборудования, агрегатов, механизмов и вспомогательных систем;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горюче-смазочные материалы;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учетно-отчетная документация.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Обучающийся по профессии 131003.04 Машинист на буровых установках готовится к следующим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4.3.1. Техническое обслуживание оборудования буровых установок.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4.3.2. Эксплуатация и обслуживание подъемно-транспортных средств и вспомогательных механизмов.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4.3.3. Ремонт оборудования буровых установок.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V. ТРЕБОВАНИЯ К РЕЗУЛЬТАТАМ ОСВОЕНИЯ ПРОГРАММЫ ПОДГОТОВКИ</w:t>
      </w:r>
    </w:p>
    <w:p>
      <w:pPr>
        <w:pStyle w:val="2"/>
        <w:jc w:val="center"/>
      </w:pPr>
      <w:r>
        <w:rPr>
          <w:sz w:val="20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jc w:val="both"/>
      </w:pPr>
      <w:r>
        <w:rPr>
          <w:sz w:val="20"/>
        </w:rPr>
        <w:t xml:space="preserve">(п. 5.1 в ред. </w:t>
      </w:r>
      <w:hyperlink w:history="0" r:id="rId21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Выпускник, освоивший ППКРС, должен обладать профессиональными компетенциями, соответствующими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5.2.1. Техническое обслуживание оборудования буровых установок.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1.1. Осуществлять обслуживание двигателей, силовых агрегатов, передаточных устройств и автоматов буровых установок.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1.2. Производить устранение неисправностей и регулировку силового оборудования и автоматов.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1.3. Осуществлять регулировку и наладку вспомогательных систем двигателей и силовых агрегатов.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1.4. Осуществлять регулировку и наладку систем дистанционного управления и систем автоматической защиты силовых агрегатов.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1.5. Вести контроль заданных режимов работы двигателей и силовых агрегатов.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1.6. Вести учет работы двигателей, силовых агрегатов и расхода горюче-смазочных средств в вахтовом журнале.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5.2.2. Эксплуатация и обслуживание подъемно-транспортных средств и вспомогательных механизмов.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2.1. Подготавливать к работе и управлять подъемником при опробовании (испытании) скважин.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2.2. Выполнять работы по монтажу, демонтажу и ремонту подъемника, оснастке талевой системы, монтажу и обслуживанию вспомогательных механизмов.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2.3. Управлять лебедкой при спускоподъемных операциях.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2.4. Управлять силовым электрогенератором, установленным на подъемнике.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2.5. Обслуживать передвижные электростанции.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5.2.3. Ремонт оборудования буровых установок.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3.1. Выполнять ремонт газотурбинных двигателей, силовых агрегатов, передаточных устройств и автоматов буровых установок.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3.2. Осуществлять разборку, сборку и ремонт системы пневмоуправления, комплекса механизмов для автоматического спуска и подъема инструмента, противовыбросового оборудования и установки для его управления, автоматических буровых ключей, блоков для приготовления бурового раствора.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3.3. Производить испытание и ремонт контрольно-измерительных приборов.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3.4. Производить ремонт лебедки и грузоподъемных кранов.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3.5. Участвовать в работе по спуску обсадных колонн и оборудованию устья скважин, сборке и установке устьевой и фонтанной арматуры.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VI. ТРЕБОВАНИЯ К СТРУКТУРЕ ПРОГРАММЫ ПОДГОТОВКИ</w:t>
      </w:r>
    </w:p>
    <w:p>
      <w:pPr>
        <w:pStyle w:val="2"/>
        <w:jc w:val="center"/>
      </w:pPr>
      <w:r>
        <w:rPr>
          <w:sz w:val="20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6.1. ППКРС предусматривает изучение следующих учебных циклов: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профессионального;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и разделов: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физическая культура;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промежуточная аттестация;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государственная итоговая аттестация.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6.2. Обязательная часть ППКРС должна составлять около 80 процентов от общего объема времени, отведенного на ее освоение. Вариативная часть (около 20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Общепрофессиональный учебный цикл состоит из общепрофессиональных дисциплин, профессиональный учебный цикл состоит из профессиональных модулей в соответствии с видами деятельности, соответствующими присваиваемой квалификации.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профессионального учебного цикла ППКРС должна предусматривать изучение дисциплины "Безопасность жизнедеятельности". Объем часов на дисциплину "Безопасность жизнедеятельности" составляет 2 часа в неделю в период теоретического обучения (обязательной части учебных циклов), но не более 68 часов, из них на освоение основ военной службы - 70 процентов от общего объема времени, отведенного на указанную дисциплину.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6.3. Образовательной организацией при определении структуры ППКРС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jc w:val="center"/>
      </w:pPr>
      <w:r>
        <w:rPr>
          <w:sz w:val="20"/>
        </w:rPr>
        <w:t xml:space="preserve">Структура программы подготовки квалифицированных</w:t>
      </w:r>
    </w:p>
    <w:p>
      <w:pPr>
        <w:pStyle w:val="2"/>
        <w:jc w:val="center"/>
      </w:pPr>
      <w:r>
        <w:rPr>
          <w:sz w:val="20"/>
        </w:rPr>
        <w:t xml:space="preserve">рабочих, служащих</w:t>
      </w:r>
    </w:p>
    <w:p>
      <w:pPr>
        <w:pStyle w:val="0"/>
        <w:jc w:val="center"/>
      </w:pPr>
      <w:r>
        <w:rPr>
          <w:sz w:val="20"/>
        </w:rPr>
        <w:t xml:space="preserve">(в ред. </w:t>
      </w:r>
      <w:hyperlink w:history="0" r:id="rId22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2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020"/>
        <w:gridCol w:w="4705"/>
        <w:gridCol w:w="1757"/>
        <w:gridCol w:w="1587"/>
      </w:tblGrid>
      <w:tr>
        <w:tc>
          <w:tcPr>
            <w:gridSpan w:val="2"/>
            <w:tcW w:w="5725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75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 максимальной учебной нагрузки обучающегося (час./нед.)</w:t>
            </w:r>
          </w:p>
        </w:tc>
        <w:tc>
          <w:tcPr>
            <w:tcW w:w="15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часов обязательных учебных занятий</w:t>
            </w:r>
          </w:p>
        </w:tc>
      </w:tr>
      <w:tr>
        <w:tc>
          <w:tcPr>
            <w:gridSpan w:val="2"/>
            <w:tcW w:w="5725" w:type="dxa"/>
          </w:tcPr>
          <w:p>
            <w:pPr>
              <w:pStyle w:val="0"/>
            </w:pPr>
            <w:r>
              <w:rPr>
                <w:sz w:val="20"/>
              </w:rPr>
              <w:t xml:space="preserve">учебные циклы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  <w:t xml:space="preserve">ОП.00</w:t>
            </w:r>
          </w:p>
        </w:tc>
        <w:tc>
          <w:tcPr>
            <w:tcW w:w="4705" w:type="dxa"/>
          </w:tcPr>
          <w:p>
            <w:pPr>
              <w:pStyle w:val="0"/>
            </w:pPr>
            <w:r>
              <w:rPr>
                <w:sz w:val="20"/>
              </w:rPr>
              <w:t xml:space="preserve">общепрофессиональный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300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200</w:t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  <w:t xml:space="preserve">П.00</w:t>
            </w:r>
          </w:p>
        </w:tc>
        <w:tc>
          <w:tcPr>
            <w:tcW w:w="4705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профессиональный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484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336</w:t>
            </w:r>
          </w:p>
        </w:tc>
      </w:tr>
      <w:tr>
        <w:tc>
          <w:tcPr>
            <w:gridSpan w:val="2"/>
            <w:tcW w:w="5725" w:type="dxa"/>
            <w:vAlign w:val="center"/>
          </w:tcPr>
          <w:p>
            <w:pPr>
              <w:pStyle w:val="0"/>
            </w:pPr>
            <w:r>
              <w:rPr>
                <w:sz w:val="20"/>
              </w:rPr>
              <w:t xml:space="preserve">и раздел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  <w:t xml:space="preserve">ФК.00</w:t>
            </w:r>
          </w:p>
        </w:tc>
        <w:tc>
          <w:tcPr>
            <w:tcW w:w="4705" w:type="dxa"/>
          </w:tcPr>
          <w:p>
            <w:pPr>
              <w:pStyle w:val="0"/>
            </w:pPr>
            <w:r>
              <w:rPr>
                <w:sz w:val="20"/>
              </w:rPr>
              <w:t xml:space="preserve">физическая культура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80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40</w:t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705" w:type="dxa"/>
          </w:tcPr>
          <w:p>
            <w:pPr>
              <w:pStyle w:val="0"/>
            </w:pPr>
            <w:r>
              <w:rPr>
                <w:sz w:val="20"/>
              </w:rPr>
              <w:t xml:space="preserve">вариативная часть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216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144</w:t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705" w:type="dxa"/>
            <w:vAlign w:val="center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итого по обязательной части ППКРС, включая раздел "Физическая культура", и вариативной части ППКРС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1080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720</w:t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  <w:t xml:space="preserve">УП.00</w:t>
            </w:r>
          </w:p>
        </w:tc>
        <w:tc>
          <w:tcPr>
            <w:tcW w:w="4705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и производственная практики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19 нед.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684</w:t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  <w:t xml:space="preserve">ПА.00</w:t>
            </w:r>
          </w:p>
        </w:tc>
        <w:tc>
          <w:tcPr>
            <w:tcW w:w="4705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1 нед.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36</w:t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  <w:t xml:space="preserve">ГИА.00</w:t>
            </w:r>
          </w:p>
        </w:tc>
        <w:tc>
          <w:tcPr>
            <w:tcW w:w="4705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1 нед.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36</w:t>
            </w:r>
          </w:p>
        </w:tc>
      </w:tr>
      <w:tr>
        <w:tc>
          <w:tcPr>
            <w:gridSpan w:val="2"/>
            <w:tcW w:w="5725" w:type="dxa"/>
          </w:tcPr>
          <w:p>
            <w:pPr>
              <w:pStyle w:val="0"/>
            </w:pPr>
            <w:r>
              <w:rPr>
                <w:sz w:val="20"/>
              </w:rPr>
              <w:t xml:space="preserve">Общий объем образовательной программы: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705" w:type="dxa"/>
          </w:tcPr>
          <w:p>
            <w:pPr>
              <w:pStyle w:val="0"/>
            </w:pPr>
            <w:r>
              <w:rPr>
                <w:sz w:val="20"/>
              </w:rPr>
              <w:t xml:space="preserve">на базе среднего общего образования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41 нед.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1476</w:t>
            </w:r>
          </w:p>
        </w:tc>
      </w:tr>
      <w:tr>
        <w:tc>
          <w:tcPr>
            <w:tcW w:w="1020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  <w:tc>
          <w:tcPr>
            <w:tcW w:w="4705" w:type="dxa"/>
            <w:vAlign w:val="center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757" w:type="dxa"/>
          </w:tcPr>
          <w:p>
            <w:pPr>
              <w:pStyle w:val="0"/>
            </w:pPr>
            <w:r>
              <w:rPr>
                <w:sz w:val="20"/>
              </w:rPr>
              <w:t xml:space="preserve">82 нед.</w:t>
            </w:r>
          </w:p>
        </w:tc>
        <w:tc>
          <w:tcPr>
            <w:tcW w:w="1587" w:type="dxa"/>
          </w:tcPr>
          <w:p>
            <w:pPr>
              <w:pStyle w:val="0"/>
            </w:pPr>
            <w:r>
              <w:rPr>
                <w:sz w:val="20"/>
              </w:rPr>
              <w:t xml:space="preserve">2952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ind w:firstLine="540"/>
        <w:jc w:val="both"/>
      </w:pPr>
      <w:r>
        <w:rPr>
          <w:sz w:val="20"/>
        </w:rPr>
        <w:t xml:space="preserve">Таблица 3. Утратила силу. - </w:t>
      </w:r>
      <w:hyperlink w:history="0" r:id="rId23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01.09.2022 N 796.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6.4. Обязательная часть общепрофессионального учебного цикла образовательной программы должна предусматривать изучение следующих дисциплин: "ОП.01. Техническое черчение", "ОП.02. Электротехника", "ОП.03. Основы технической механики и слесарных работ", "ОП.04. Охрана труда", "ОП.05. Безопасность жизнедеятельности".</w:t>
      </w:r>
    </w:p>
    <w:p>
      <w:pPr>
        <w:pStyle w:val="0"/>
        <w:jc w:val="both"/>
      </w:pPr>
      <w:r>
        <w:rPr>
          <w:sz w:val="20"/>
        </w:rPr>
        <w:t xml:space="preserve">(п. 6.4 введен </w:t>
      </w:r>
      <w:hyperlink w:history="0" r:id="rId24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6.5. Обязательная часть профессионального учебного цикла образовательной программы должна предусматривать изучение следующих профессиональных модулей и междисциплинарных курсов: "ПМ.01 Техническое обслуживание оборудования буровых установок", "МДК.01.01. Устройство и техническое обслуживание оборудования буровых установок", "ПМ.02 Эксплуатация и обслуживание подъемно-транспортных средств и вспомогательных механизмов", "МДК.02.01. Эксплуатация и обслуживание подъемно-транспортного оборудования буровых установок", "ПМ.03 Ремонт оборудования буровых установок", "МДК.03.01. Ремонт оборудования буровых установок".</w:t>
      </w:r>
    </w:p>
    <w:p>
      <w:pPr>
        <w:pStyle w:val="0"/>
        <w:jc w:val="both"/>
      </w:pPr>
      <w:r>
        <w:rPr>
          <w:sz w:val="20"/>
        </w:rPr>
        <w:t xml:space="preserve">(п. 6.5 введен </w:t>
      </w:r>
      <w:hyperlink w:history="0" r:id="rId25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VII. ТРЕБОВАНИЯ К УСЛОВИЯМ РЕАЛИЗАЦИИ ПРОГРАММЫ ПОДГОТОВКИ</w:t>
      </w:r>
    </w:p>
    <w:p>
      <w:pPr>
        <w:pStyle w:val="2"/>
        <w:jc w:val="center"/>
      </w:pPr>
      <w:r>
        <w:rPr>
          <w:sz w:val="20"/>
        </w:rPr>
        <w:t xml:space="preserve">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7.1. Образовательная организация самостоятельно разрабатывает и утверждают ППКРС в соответствии с ФГОС СПО, определяя профессию или группу профессий рабочих (должностей служащих) по </w:t>
      </w:r>
      <w:hyperlink w:history="0" r:id="rId26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<w:r>
          <w:rPr>
            <w:sz w:val="20"/>
            <w:color w:val="0000ff"/>
          </w:rPr>
          <w:t xml:space="preserve">ОК 016-94</w:t>
        </w:r>
      </w:hyperlink>
      <w:r>
        <w:rPr>
          <w:sz w:val="20"/>
        </w:rPr>
        <w:t xml:space="preserve"> (исходя из рекомендуемого перечня их возможных сочетаний согласно </w:t>
      </w:r>
      <w:hyperlink w:history="0" w:anchor="P92" w:tooltip="3.2. Рекомендуемый перечень возможных сочетаний профессий рабочих, должностей служащих по Общероссийскому классификатору профессий рабочих, должностей служащих и тарифных разрядов (ОК 016-94) при формировании ППКРС:">
        <w:r>
          <w:rPr>
            <w:sz w:val="20"/>
            <w:color w:val="0000ff"/>
          </w:rPr>
          <w:t xml:space="preserve">пункту 3.2</w:t>
        </w:r>
      </w:hyperlink>
      <w:r>
        <w:rPr>
          <w:sz w:val="20"/>
        </w:rPr>
        <w:t xml:space="preserve"> ФГОС СПО), с учетом соответствующей примерной ППКРС.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Перед началом разработки ППКРС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формировании ППКРС образовательная организация: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имеет право использовать объем времени, отведенный на вариативную часть учебных циклов ППКРС, увеличивая при этом объем времени, отведенный на дисциплины и модули обязательной части, на практики,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27" w:tooltip="Приказ Минобрнауки России от 09.04.2015 N 391 (ред. от 03.12.2019)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05.2015 N 37276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Минобрнауки России от 09.04.2015 N 391)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ежегодно обновлять ППКРС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в рабочих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обеспечивать обучающимся возможность участвовать в формировании индивидуальной образовательной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самоуправления, участие обучающихся в работе общественных организаций, спортивных и творческих клубов;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должна предусматривать при реализации компетентностного подхода использование в образовательном процессе активных форм проведения занятий с применением электронных образовательных ресурсов, деловых и ролевых игр, индивидуальных и групповых проектов, анализа производственных ситуаций, психологических и иных тренингов, групповых дискуссий в сочетании с внеаудиторной работой для формирования и развития общих и профессиональных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7.2. При реализации ППКРС обучающиеся имеют академические права и обязанности в соответствии с Федеральным </w:t>
      </w:r>
      <w:hyperlink w:history="0" r:id="rId28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 &lt;5&gt;.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Собрание законодательства Российской Федерации, 2012, N 53, ст. 7598; 2013, N 19, ст. 2326.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7.3. Максимальный объем учебной нагрузки обучающегося составляет 54 академических часа в неделю, включая все виды аудиторной и внеаудиторной (самостоятельной) учебной работы по освоению ППКРС и консультации.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7.4. Максимальный объем аудиторной учебной нагрузки в очной форме обучения составляет 36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7.5. Максимальный объем аудиторной учебной нагрузки в очно-заочной форме обучения составляет 16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7.6. Общая продолжительность каникул составляет не менее 10 недель в учебном году при сроке обучения более 1 года и не менее 2 недель в зимний период при сроке обучения 1 год.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7.7. По дисциплине "Физическая культура" могут быть предусмотрены еженедельно 2 часа самостоятельной учебной нагрузки, включая игровые виды подготовки (за счет различных форм внеаудиторных занятий в спортивных клубах, секциях).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7.8. Образовательная организация имеет право для подгрупп девушек использовать 70 процентов учебного времени дисциплины "Безопасность жизнедеятельности", отведенного на изучение основ военной службы, на освоение основ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7.9.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профессии.</w:t>
      </w:r>
    </w:p>
    <w:p>
      <w:pPr>
        <w:pStyle w:val="0"/>
        <w:jc w:val="both"/>
      </w:pPr>
      <w:r>
        <w:rPr>
          <w:sz w:val="20"/>
        </w:rPr>
        <w:t xml:space="preserve">(п. 7.9 в ред. </w:t>
      </w:r>
      <w:hyperlink w:history="0" r:id="rId29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7.10.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7.11. В период обучения с юношами проводятся учебные сборы &lt;6&gt;.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</w:t>
      </w:r>
      <w:hyperlink w:history="0" r:id="rId30" w:tooltip="Федеральный закон от 28.03.1998 N 53-ФЗ (ред. от 24.09.2022) &quot;О воинской обязанности и военной службе&quot; (с изм. и доп., вступ. в силу с 13.10.2022) {КонсультантПлюс}">
        <w:r>
          <w:rPr>
            <w:sz w:val="20"/>
            <w:color w:val="0000ff"/>
          </w:rPr>
          <w:t xml:space="preserve">Пункт 1 статьи 13</w:t>
        </w:r>
      </w:hyperlink>
      <w:r>
        <w:rPr>
          <w:sz w:val="20"/>
        </w:rP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2004, N 35, ст. 3607; 2005, N 30, ст. 3111; 2007, N 49, ст. 6070; 2008, N 30, ст. 3616; 2013, N 30, ст. 3477).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7.12. Практика является обязательным разделом ППКРС.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ППКРС предусматриваются следующие виды практик: учебная и производственная.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 и производственная практика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Цели и задачи, программы и формы отчетности определяются образовательной организацией по каждому виду практики.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7.13. Реализация ППКРС должна обеспечиваться педагогическими кадрами, имеющими среднее профессиональное или высшее образование, соответствующее профилю преподаваемой дисциплины (модуля). Мастера производственного обучения должны иметь на 1 - 2 разряда по профессии рабочего выше, чем предусмотрено ФГОС СПО для выпускников.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и мастера производственного обучения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7.14. ППКРС должна обеспечиваться учебно-методической документацией по всем дисциплинам, междисциплинарным курсам и профессиональным модулям ППКРС.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ППКРС должна обеспечиваться доступом каждого обучающегося к базам данных и библиотечным фондам, формируемым по полному перечню дисциплин (модулей) ППКРС. Во время самостоятельной подготовки обучающиеся должны быть обеспечены доступом к сети Интернет.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Каждый обучающийся должен быть обеспечен не менее чем одним учебным печатным и/или электронным изданием по каждой дисциплине общепрофессионального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изданными за последние 5 лет.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Каждому обучающемуся должен быть обеспечен доступ к комплектам библиотечного фонда, состоящим не менее чем из 3 наименований отечественных журналов.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предоставить обучающимся возможность оперативного обмена информацией с отечественными организациями, в том числе образовательными организациями, и доступ к современным профессиональным базам данных и информационным ресурсам сети Интернет.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7.15. Требование к финансовым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&lt;7&gt; и Федеральным </w:t>
      </w:r>
      <w:hyperlink w:history="0" r:id="rId31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 &lt;8&gt;.</w:t>
      </w:r>
    </w:p>
    <w:p>
      <w:pPr>
        <w:pStyle w:val="0"/>
        <w:jc w:val="both"/>
      </w:pPr>
      <w:r>
        <w:rPr>
          <w:sz w:val="20"/>
        </w:rPr>
        <w:t xml:space="preserve">(п. 7.15 в ред. </w:t>
      </w:r>
      <w:hyperlink w:history="0" r:id="rId32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Бюджетный </w:t>
      </w:r>
      <w:hyperlink w:history="0" r:id="rId33" w:tooltip="&quot;Бюджетный кодекс Российской Федерации&quot; от 31.07.1998 N 145-ФЗ (ред. от 21.11.2022) {КонсультантПлюс}">
        <w:r>
          <w:rPr>
            <w:sz w:val="20"/>
            <w:color w:val="0000ff"/>
          </w:rPr>
          <w:t xml:space="preserve">кодекс</w:t>
        </w:r>
      </w:hyperlink>
      <w:r>
        <w:rPr>
          <w:sz w:val="20"/>
        </w:rPr>
        <w:t xml:space="preserve"> Российской Федерации (Собрание законодательства Российской Федерации, 1998, N 31, ст. 3823; 2022, N 29, ст. 5305).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&lt;8&gt; Собрание законодательства Российской Федерации, 2012, N 53, ст. 7598; 2022, N 29, ст. 5262.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7.16. Образовательная организация, реализующая ППКРС,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jc w:val="center"/>
      </w:pPr>
      <w:r>
        <w:rPr>
          <w:sz w:val="20"/>
        </w:rPr>
        <w:t xml:space="preserve">Перечень кабинетов, лабораторий, мастерских</w:t>
      </w:r>
    </w:p>
    <w:p>
      <w:pPr>
        <w:pStyle w:val="2"/>
        <w:jc w:val="center"/>
      </w:pPr>
      <w:r>
        <w:rPr>
          <w:sz w:val="20"/>
        </w:rPr>
        <w:t xml:space="preserve">и других помещений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Кабинеты: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технического черчения;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электротехники;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технической механики;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охраны труда и техники безопасности;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безопасности жизнедеятельности.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Лаборатории: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технического обслуживания и ремонта оборудования буровых;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контроля и автоматизации добычи нефти и газа.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Мастерские: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слесарная;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механосборочная.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Тренажеры, тренажерные комплексы: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компьютеризированный тренажер-имитатор капитального ремонта скважин и эксплуатации нефтяных и газовых месторождений;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компьютеризированный тренажер-имитатор бурения скважин.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комплекс: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зал;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абзацы двадцатый - двадцать первый утратили силу. - </w:t>
      </w:r>
      <w:hyperlink w:history="0" r:id="rId34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Минпросвещения России от 13.07.2021 N 450.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библиотека, читальный зал с выходом в сеть Интернет;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актовый зал.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ППКРС должна обеспечивать: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обучающимся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освоение обучающимся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быть обеспечена необходимым комплектом лицензионного программного обеспечения.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7.17. Реализация ППКРС осуществляется образовательной организацией на государственном языке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ППКРС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ППКРС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VIII. ТРЕБОВАНИЯ К РЕЗУЛЬТАТАМ ОСВОЕНИЯ ПРОГРАММЫ</w:t>
      </w:r>
    </w:p>
    <w:p>
      <w:pPr>
        <w:pStyle w:val="2"/>
        <w:jc w:val="center"/>
      </w:pPr>
      <w:r>
        <w:rPr>
          <w:sz w:val="20"/>
        </w:rPr>
        <w:t xml:space="preserve">ПОДГОТОВКИ КВАЛИФИЦИРОВАННЫХ РАБОЧИХ, СЛУЖАЩИХ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8.1. Оценка качества освоения ППКРС должна включать текущий контроль успеваемости, промежуточную и государственную итоговую аттестацию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8.3. Для аттестации обучающихся на соответствие их персональных достижений поэтапным требованиям соответствующей ППКРС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8.4. Оценка качества подготовки обучающихся и выпускников осуществляется в двух основных направлениях: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уровня освоения дисциплин;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юношей предусматривается оценка результатов освоения основ военной службы.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8.5. К государственной итоговой аттестации допускаются обучающиеся, не имеющие академической задолженности и в полном объеме выполнившие учебный план или индивидуальный учебный план по ППКРС, если иное не установлено порядком проведения государственной итоговой аттестации по образовательным программам среднего профессионального образования &lt;9&gt;.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35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hyperlink w:history="0" r:id="rId36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&lt;9&gt;</w:t>
        </w:r>
      </w:hyperlink>
      <w:r>
        <w:rPr>
          <w:sz w:val="20"/>
        </w:rPr>
        <w:t xml:space="preserve"> </w:t>
      </w:r>
      <w:hyperlink w:history="0" r:id="rId37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6 статьи 59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8.6. Государственная итоговая аттестация проводится в форме демонстрационного экзамена.</w:t>
      </w:r>
    </w:p>
    <w:p>
      <w:pPr>
        <w:pStyle w:val="0"/>
        <w:jc w:val="both"/>
      </w:pPr>
      <w:r>
        <w:rPr>
          <w:sz w:val="20"/>
        </w:rPr>
        <w:t xml:space="preserve">(п. 8.6 в ред. </w:t>
      </w:r>
      <w:hyperlink w:history="0" r:id="rId38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8.7. Обучающиеся по ППКРС, не имеющие среднего общего образования, в соответствии с </w:t>
      </w:r>
      <w:hyperlink w:history="0" r:id="rId39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частью 6 статьи 68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&lt;10&gt; вправе бесплатно пройти государственную итоговую аттестацию, которой завершается освоение образовательных программ среднего общего образования. При успешном прохождении указанной государственной итоговой аттестации аккредитованной образовательной организацией обучающимся выдается аттестат о среднем общем образовании.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0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Приказа</w:t>
        </w:r>
      </w:hyperlink>
      <w:r>
        <w:rPr>
          <w:sz w:val="20"/>
        </w:rPr>
        <w:t xml:space="preserve"> Минпросвещения России от 01.09.2022 N 796)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hyperlink w:history="0" r:id="rId41" w:tooltip="Приказ Минпросвещения России от 01.09.2022 N 796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1.10.2022 N 70461) {КонсультантПлюс}">
        <w:r>
          <w:rPr>
            <w:sz w:val="20"/>
            <w:color w:val="0000ff"/>
          </w:rPr>
          <w:t xml:space="preserve">&lt;10&gt;</w:t>
        </w:r>
      </w:hyperlink>
      <w:r>
        <w:rPr>
          <w:sz w:val="20"/>
        </w:rPr>
        <w:t xml:space="preserve"> Собрание законодательства Российской Федерации, 2012, N 53, ст. 7598; 2013, N 19, ст. 2326.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02.08.2013 N 850</w:t>
            <w:br/>
            <w:t>(ред. от 01.09.2022)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B2918C0FC00F729DAE01FE99AC4C669599686A147C9A608210EFCAC9EA86E3A051F1A09AFADD683C4D3C7587574D26C8A706037E00244C4617W6K" TargetMode = "External"/>
	<Relationship Id="rId8" Type="http://schemas.openxmlformats.org/officeDocument/2006/relationships/hyperlink" Target="consultantplus://offline/ref=B2918C0FC00F729DAE01FE99AC4C6695996564177A9A608210EFCAC9EA86E3A051F1A09AFADD6A3F423C7587574D26C8A706037E00244C4617W6K" TargetMode = "External"/>
	<Relationship Id="rId9" Type="http://schemas.openxmlformats.org/officeDocument/2006/relationships/hyperlink" Target="consultantplus://offline/ref=B2918C0FC00F729DAE01FE99AC4C66959E6E64117991608210EFCAC9EA86E3A051F1A09AFADC6D3F4C3C7587574D26C8A706037E00244C4617W6K" TargetMode = "External"/>
	<Relationship Id="rId10" Type="http://schemas.openxmlformats.org/officeDocument/2006/relationships/hyperlink" Target="consultantplus://offline/ref=B2918C0FC00F729DAE01FE99AC4C66959B6C6D1E739B608210EFCAC9EA86E3A043F1F896FBDB723D472923D61111WAK" TargetMode = "External"/>
	<Relationship Id="rId11" Type="http://schemas.openxmlformats.org/officeDocument/2006/relationships/hyperlink" Target="consultantplus://offline/ref=B2918C0FC00F729DAE01FE99AC4C669599686A147C9A608210EFCAC9EA86E3A051F1A09AFADD683C4D3C7587574D26C8A706037E00244C4617W6K" TargetMode = "External"/>
	<Relationship Id="rId12" Type="http://schemas.openxmlformats.org/officeDocument/2006/relationships/hyperlink" Target="consultantplus://offline/ref=B2918C0FC00F729DAE01FE99AC4C6695996564177A9A608210EFCAC9EA86E3A051F1A09AFADD6A3F423C7587574D26C8A706037E00244C4617W6K" TargetMode = "External"/>
	<Relationship Id="rId13" Type="http://schemas.openxmlformats.org/officeDocument/2006/relationships/hyperlink" Target="consultantplus://offline/ref=B2918C0FC00F729DAE01FE99AC4C66959E6E64117991608210EFCAC9EA86E3A051F1A09AFADC6D3F4C3C7587574D26C8A706037E00244C4617W6K" TargetMode = "External"/>
	<Relationship Id="rId14" Type="http://schemas.openxmlformats.org/officeDocument/2006/relationships/hyperlink" Target="consultantplus://offline/ref=B2918C0FC00F729DAE01FE99AC4C66959E6F6F13789E608210EFCAC9EA86E3A051F1A09AFADD6E39423C7587574D26C8A706037E00244C4617W6K" TargetMode = "External"/>
	<Relationship Id="rId15" Type="http://schemas.openxmlformats.org/officeDocument/2006/relationships/hyperlink" Target="consultantplus://offline/ref=B2918C0FC00F729DAE01FE99AC4C6695996564177A9A608210EFCAC9EA86E3A051F1A09AFADD6A3F4D3C7587574D26C8A706037E00244C4617W6K" TargetMode = "External"/>
	<Relationship Id="rId16" Type="http://schemas.openxmlformats.org/officeDocument/2006/relationships/hyperlink" Target="consultantplus://offline/ref=B2918C0FC00F729DAE01FE99AC4C6695996564177A9A608210EFCAC9EA86E3A051F1A09AFADD6A38453C7587574D26C8A706037E00244C4617W6K" TargetMode = "External"/>
	<Relationship Id="rId17" Type="http://schemas.openxmlformats.org/officeDocument/2006/relationships/hyperlink" Target="consultantplus://offline/ref=B2918C0FC00F729DAE01FE99AC4C66959B6F691E729E608210EFCAC9EA86E3A051F1A09AFADD6C3D453C7587574D26C8A706037E00244C4617W6K" TargetMode = "External"/>
	<Relationship Id="rId18" Type="http://schemas.openxmlformats.org/officeDocument/2006/relationships/hyperlink" Target="consultantplus://offline/ref=B2918C0FC00F729DAE01FE99AC4C669599686A147C9A608210EFCAC9EA86E3A051F1A09AFADD683C4C3C7587574D26C8A706037E00244C4617W6K" TargetMode = "External"/>
	<Relationship Id="rId19" Type="http://schemas.openxmlformats.org/officeDocument/2006/relationships/hyperlink" Target="consultantplus://offline/ref=B2918C0FC00F729DAE01FE99AC4C66959E6E64117991608210EFCAC9EA86E3A051F1A09AFADC6D38453C7587574D26C8A706037E00244C4617W6K" TargetMode = "External"/>
	<Relationship Id="rId20" Type="http://schemas.openxmlformats.org/officeDocument/2006/relationships/hyperlink" Target="consultantplus://offline/ref=B2918C0FC00F729DAE01FE99AC4C66959B6F691E729E608210EFCAC9EA86E3A051F1A09AFADD6C3D453C7587574D26C8A706037E00244C4617W6K" TargetMode = "External"/>
	<Relationship Id="rId21" Type="http://schemas.openxmlformats.org/officeDocument/2006/relationships/hyperlink" Target="consultantplus://offline/ref=B2918C0FC00F729DAE01FE99AC4C66959E6E64117991608210EFCAC9EA86E3A051F1A09AFADC6D39473C7587574D26C8A706037E00244C4617W6K" TargetMode = "External"/>
	<Relationship Id="rId22" Type="http://schemas.openxmlformats.org/officeDocument/2006/relationships/hyperlink" Target="consultantplus://offline/ref=B2918C0FC00F729DAE01FE99AC4C66959E6E64117991608210EFCAC9EA86E3A051F1A09AFADC6D3A463C7587574D26C8A706037E00244C4617W6K" TargetMode = "External"/>
	<Relationship Id="rId23" Type="http://schemas.openxmlformats.org/officeDocument/2006/relationships/hyperlink" Target="consultantplus://offline/ref=B2918C0FC00F729DAE01FE99AC4C66959E6E64117991608210EFCAC9EA86E3A051F1A09AFADC6E3C4D3C7587574D26C8A706037E00244C4617W6K" TargetMode = "External"/>
	<Relationship Id="rId24" Type="http://schemas.openxmlformats.org/officeDocument/2006/relationships/hyperlink" Target="consultantplus://offline/ref=B2918C0FC00F729DAE01FE99AC4C66959E6E64117991608210EFCAC9EA86E3A051F1A09AFADC6E3C4C3C7587574D26C8A706037E00244C4617W6K" TargetMode = "External"/>
	<Relationship Id="rId25" Type="http://schemas.openxmlformats.org/officeDocument/2006/relationships/hyperlink" Target="consultantplus://offline/ref=B2918C0FC00F729DAE01FE99AC4C66959E6E64117991608210EFCAC9EA86E3A051F1A09AFADC6E3D443C7587574D26C8A706037E00244C4617W6K" TargetMode = "External"/>
	<Relationship Id="rId26" Type="http://schemas.openxmlformats.org/officeDocument/2006/relationships/hyperlink" Target="consultantplus://offline/ref=B2918C0FC00F729DAE01FE99AC4C66959B6F691E729E608210EFCAC9EA86E3A051F1A09AFADD6C3D453C7587574D26C8A706037E00244C4617W6K" TargetMode = "External"/>
	<Relationship Id="rId27" Type="http://schemas.openxmlformats.org/officeDocument/2006/relationships/hyperlink" Target="consultantplus://offline/ref=B2918C0FC00F729DAE01FE99AC4C669599686A147C9A608210EFCAC9EA86E3A051F1A09AFADD6838463C7587574D26C8A706037E00244C4617W6K" TargetMode = "External"/>
	<Relationship Id="rId28" Type="http://schemas.openxmlformats.org/officeDocument/2006/relationships/hyperlink" Target="consultantplus://offline/ref=B2918C0FC00F729DAE01FE99AC4C66959E6F6F13789E608210EFCAC9EA86E3A043F1F896FBDB723D472923D61111WAK" TargetMode = "External"/>
	<Relationship Id="rId29" Type="http://schemas.openxmlformats.org/officeDocument/2006/relationships/hyperlink" Target="consultantplus://offline/ref=B2918C0FC00F729DAE01FE99AC4C66959E6E64117991608210EFCAC9EA86E3A051F1A09AFADC6E3D473C7587574D26C8A706037E00244C4617W6K" TargetMode = "External"/>
	<Relationship Id="rId30" Type="http://schemas.openxmlformats.org/officeDocument/2006/relationships/hyperlink" Target="consultantplus://offline/ref=B2918C0FC00F729DAE01FE99AC4C66959E6E6E13789A608210EFCAC9EA86E3A051F1A098F3DD6768147374DB121E35C8A306007C1C12W4K" TargetMode = "External"/>
	<Relationship Id="rId31" Type="http://schemas.openxmlformats.org/officeDocument/2006/relationships/hyperlink" Target="consultantplus://offline/ref=B2918C0FC00F729DAE01FE99AC4C66959E6F6F13789E608210EFCAC9EA86E3A043F1F896FBDB723D472923D61111WAK" TargetMode = "External"/>
	<Relationship Id="rId32" Type="http://schemas.openxmlformats.org/officeDocument/2006/relationships/hyperlink" Target="consultantplus://offline/ref=B2918C0FC00F729DAE01FE99AC4C66959E6E64117991608210EFCAC9EA86E3A051F1A09AFADC6E3D413C7587574D26C8A706037E00244C4617W6K" TargetMode = "External"/>
	<Relationship Id="rId33" Type="http://schemas.openxmlformats.org/officeDocument/2006/relationships/hyperlink" Target="consultantplus://offline/ref=B2918C0FC00F729DAE01FE99AC4C66959E6F6D1F7390608210EFCAC9EA86E3A043F1F896FBDB723D472923D61111WAK" TargetMode = "External"/>
	<Relationship Id="rId34" Type="http://schemas.openxmlformats.org/officeDocument/2006/relationships/hyperlink" Target="consultantplus://offline/ref=B2918C0FC00F729DAE01FE99AC4C6695996564177A9A608210EFCAC9EA86E3A051F1A09AFADD6A38443C7587574D26C8A706037E00244C4617W6K" TargetMode = "External"/>
	<Relationship Id="rId35" Type="http://schemas.openxmlformats.org/officeDocument/2006/relationships/hyperlink" Target="consultantplus://offline/ref=B2918C0FC00F729DAE01FE99AC4C66959E6E64117991608210EFCAC9EA86E3A051F1A09AFADC6E3E443C7587574D26C8A706037E00244C4617W6K" TargetMode = "External"/>
	<Relationship Id="rId36" Type="http://schemas.openxmlformats.org/officeDocument/2006/relationships/hyperlink" Target="consultantplus://offline/ref=B2918C0FC00F729DAE01FE99AC4C66959E6E64117991608210EFCAC9EA86E3A051F1A09AFADC6E3E443C7587574D26C8A706037E00244C4617W6K" TargetMode = "External"/>
	<Relationship Id="rId37" Type="http://schemas.openxmlformats.org/officeDocument/2006/relationships/hyperlink" Target="consultantplus://offline/ref=B2918C0FC00F729DAE01FE99AC4C66959E6F6F13789E608210EFCAC9EA86E3A051F1A09AFADD643C463C7587574D26C8A706037E00244C4617W6K" TargetMode = "External"/>
	<Relationship Id="rId38" Type="http://schemas.openxmlformats.org/officeDocument/2006/relationships/hyperlink" Target="consultantplus://offline/ref=B2918C0FC00F729DAE01FE99AC4C66959E6E64117991608210EFCAC9EA86E3A051F1A09AFADC6E3E473C7587574D26C8A706037E00244C4617W6K" TargetMode = "External"/>
	<Relationship Id="rId39" Type="http://schemas.openxmlformats.org/officeDocument/2006/relationships/hyperlink" Target="consultantplus://offline/ref=B2918C0FC00F729DAE01FE99AC4C66959E6F6F13789E608210EFCAC9EA86E3A051F1A09AFADD653D473C7587574D26C8A706037E00244C4617W6K" TargetMode = "External"/>
	<Relationship Id="rId40" Type="http://schemas.openxmlformats.org/officeDocument/2006/relationships/hyperlink" Target="consultantplus://offline/ref=B2918C0FC00F729DAE01FE99AC4C66959E6E64117991608210EFCAC9EA86E3A051F1A09AFADC6E3E443C7587574D26C8A706037E00244C4617W6K" TargetMode = "External"/>
	<Relationship Id="rId41" Type="http://schemas.openxmlformats.org/officeDocument/2006/relationships/hyperlink" Target="consultantplus://offline/ref=B2918C0FC00F729DAE01FE99AC4C66959E6E64117991608210EFCAC9EA86E3A051F1A09AFADC6E3E443C7587574D26C8A706037E00244C4617W6K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02.08.2013 N 850
(ред. от 01.09.2022)
"Об утверждении федерального государственного образовательного стандарта среднего профессионального образования по профессии 131003.04 Машинист на буровых установках"
(Зарегистрировано в Минюсте России 20.08.2013 N 29570)</dc:title>
  <dcterms:created xsi:type="dcterms:W3CDTF">2022-12-16T10:22:53Z</dcterms:created>
</cp:coreProperties>
</file>