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«Техника, технологии и техническое творчество»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5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все РАСТРОВЫЕ графические редакторы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Paint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Компас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Adobe Photoshop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Adobe Illustrator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Corel DRAW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Corel PHOTO-PAINT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/>
          <w:sz w:val="24"/>
          <w:szCs w:val="24"/>
        </w:rPr>
        <w:t>Прочитайте высказывание, напишите справа «верно» или «неверно».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begin"/>
      </w:r>
      <w:r>
        <w:rPr>
          <w:rFonts w:hint="default" w:ascii="Times New Roman" w:hAnsi="Times New Roman"/>
          <w:sz w:val="24"/>
          <w:szCs w:val="24"/>
          <w:lang w:val="ru-RU"/>
        </w:rPr>
        <w:instrText xml:space="preserve"> INCLUDEPICTURE "https://2klena.ru/upload/medialibrary/749/7492b41b30e2881cf303ddbf0cc9b328.jpg" \* MERGEFORMATINET </w:instrTex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separate"/>
      </w:r>
      <w:r>
        <w:rPr>
          <w:rFonts w:hint="default" w:ascii="Times New Roman" w:hAnsi="Times New Roman"/>
          <w:sz w:val="24"/>
          <w:szCs w:val="24"/>
          <w:lang w:val="ru-RU"/>
        </w:rPr>
        <w:drawing>
          <wp:inline distT="0" distB="0" distL="114300" distR="114300">
            <wp:extent cx="721360" cy="510540"/>
            <wp:effectExtent l="0" t="0" r="2540" b="10160"/>
            <wp:docPr id="9" name="Изображение 5" descr="Картинки по запросу штрихк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5" descr="Картинки по запросу штрихкод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24"/>
          <w:szCs w:val="24"/>
          <w:lang w:val="ru-RU"/>
        </w:rPr>
        <w:fldChar w:fldCharType="end"/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Цифры «46» штрихкода означают, что предприятие зарегистрировано в России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художественный образ»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 направлениям биотехнологии не относится: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генная инженерия;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нанотехнология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бионика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нейротехнология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Определите, сколько краски понадобится (см. расход краски), чтобы покрасить деталь (см. чертеж) с двух сторон желтой масляной краской. Размеры на чертеже указаны в сантиметрах. При расчетах примите π </w:t>
      </w:r>
      <w:r>
        <w:rPr>
          <w:rFonts w:hint="default" w:ascii="Arial" w:hAnsi="Arial" w:eastAsia="TimesNewRomanPS-BoldMT" w:cs="Arial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≈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3. Ответ дайте в граммах, округлив до целого.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442210" cy="1583690"/>
            <wp:effectExtent l="0" t="0" r="8890" b="3810"/>
            <wp:docPr id="11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248785" cy="1652270"/>
            <wp:effectExtent l="0" t="0" r="5715" b="11430"/>
            <wp:docPr id="12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процессе выполнения творческого проекта осуществляется также разработка технологической документации. О каком этапе выполнения проекта идет речь?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Подготовительный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Конструкторский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Технологический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Изготовление изделия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Заключительный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механизмах применяют разные виды передач движения. Валы, оси вращения которых перекрещиваются, можно увидеть в таких передачах, как: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Зубчатая передача (цилиндрическая) с прямыми зубьями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Зубчатая передача (цилиндрическая) с шевронными зубьями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Косозубая цилиндрическая передача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Червячная передача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Реечная передача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правильное соответствие между способом художественной обработки металла и его описанием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495"/>
        <w:gridCol w:w="528"/>
        <w:gridCol w:w="6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6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</w:t>
            </w:r>
          </w:p>
        </w:tc>
        <w:tc>
          <w:tcPr>
            <w:tcW w:w="7432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9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Басма</w:t>
            </w:r>
          </w:p>
        </w:tc>
        <w:tc>
          <w:tcPr>
            <w:tcW w:w="52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904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обработки тонкого листа металла путем выдавливания для получения рельефного рисунка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9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Чеканка </w:t>
            </w:r>
          </w:p>
        </w:tc>
        <w:tc>
          <w:tcPr>
            <w:tcW w:w="52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904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обработки листового металла ударами молотка по спец.инструменту, имеющему выступы , до получения неглубокого рельефа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9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Выколотка</w:t>
            </w:r>
          </w:p>
        </w:tc>
        <w:tc>
          <w:tcPr>
            <w:tcW w:w="52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904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обработки листового металла ударами, в результате чего получаются выпуклые и вогнутые детали сложной формы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2596"/>
        <w:gridCol w:w="518"/>
        <w:gridCol w:w="57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1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</w:t>
            </w:r>
          </w:p>
        </w:tc>
        <w:tc>
          <w:tcPr>
            <w:tcW w:w="6294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92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785495" cy="405130"/>
                  <wp:effectExtent l="0" t="0" r="1905" b="1270"/>
                  <wp:docPr id="2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77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Передаточное отношение в зависимости от диаметров шкивов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92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784225" cy="361315"/>
                  <wp:effectExtent l="0" t="0" r="3175" b="6985"/>
                  <wp:docPr id="7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776" w:type="dxa"/>
            <w:shd w:val="clear" w:color="auto" w:fill="auto"/>
            <w:noWrap w:val="0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Передаточное отношение в зависимости от числа зубьев зубчатых колес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92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508125" cy="200660"/>
                  <wp:effectExtent l="0" t="0" r="3175" b="2540"/>
                  <wp:docPr id="6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125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77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вращения ведомого шкива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92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815975" cy="262255"/>
                  <wp:effectExtent l="0" t="0" r="9525" b="4445"/>
                  <wp:docPr id="8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77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вращения ведомого колеса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 древесно-волокнистым плитам и их разновидностям относятся: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ДСП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ДВП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МДФ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оргалит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фанера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Перечислите четыре вида микрометров, применяемых в машиностроении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правильное соответствие названий природных абразивных материалов и их назначения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985"/>
        <w:gridCol w:w="567"/>
        <w:gridCol w:w="62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6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Абразивный материал</w:t>
            </w:r>
          </w:p>
        </w:tc>
        <w:tc>
          <w:tcPr>
            <w:tcW w:w="6865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Кварц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Применяется для изготовления наждачных брусков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Наждак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Используется в виде порошков и паст для доводочных материалов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Корунд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Используется для шлифовальных шкурок на бумажной основе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3161"/>
        <w:gridCol w:w="525"/>
        <w:gridCol w:w="51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31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Последовательное и параллельное соединение</w:t>
            </w:r>
          </w:p>
        </w:tc>
        <w:tc>
          <w:tcPr>
            <w:tcW w:w="5698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Формулы силы тока, напряжения, сопротивления для последовательного и параллельного соединения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470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61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before="120" w:after="0"/>
              <w:ind w:hanging="10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object>
                <v:shape id="_x0000_i1025" o:spt="75" type="#_x0000_t75" style="height:18.6pt;width:136pt;" o:ole="t" filled="f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4">
                  <o:LockedField>false</o:LockedField>
                </o:OLEObject>
              </w:object>
            </w:r>
          </w:p>
        </w:tc>
        <w:tc>
          <w:tcPr>
            <w:tcW w:w="52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7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I = 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470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1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ind w:firstLine="35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7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U = U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U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U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0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61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object>
                <v:shape id="_x0000_i1026" o:spt="75" type="#_x0000_t75" style="height:49.35pt;width:82.8pt;" o:ole="t" filled="f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PBrush" ShapeID="_x0000_i1026" DrawAspect="Content" ObjectID="_1468075726" r:id="rId16">
                  <o:LockedField>false</o:LockedField>
                </o:OLEObject>
              </w:object>
            </w:r>
          </w:p>
        </w:tc>
        <w:tc>
          <w:tcPr>
            <w:tcW w:w="52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7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 = 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0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ind w:firstLine="1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17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 = 1/R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+ 1/R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+ 1/R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09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Утверждение</w:t>
            </w:r>
          </w:p>
        </w:tc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Да</w:t>
            </w:r>
          </w:p>
        </w:tc>
        <w:tc>
          <w:tcPr>
            <w:tcW w:w="74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. Так же как и металлы, сплавы делятся на две группы: черные и цветные</w:t>
            </w:r>
          </w:p>
        </w:tc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. Ртуть становится твердой при температуре ниже минус 39°С</w:t>
            </w:r>
          </w:p>
        </w:tc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. В каждых 100 гр. чугуна содержится до 2 гр. углерода</w:t>
            </w:r>
          </w:p>
        </w:tc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. В конструкционной стали содержание углерода = 0,7-1,3 %; в инструментальной С = до 0,7 %</w:t>
            </w:r>
          </w:p>
        </w:tc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Какой размер показан на ШЦ-II?: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/>
          <w:b w:val="0"/>
          <w:bCs/>
          <w:sz w:val="24"/>
          <w:szCs w:val="24"/>
        </w:rPr>
        <w:drawing>
          <wp:inline distT="0" distB="0" distL="114300" distR="114300">
            <wp:extent cx="2028190" cy="628015"/>
            <wp:effectExtent l="0" t="0" r="3810" b="6985"/>
            <wp:docPr id="10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Вставьте пропущенные слова.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Сегодня все энергетические машины делят на два класса: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Машины-__________________ - энергетические машины, преобразующие какую-либо энергию в механическую работу: возвратно-поступательные или вращательные движения.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Машины-__________________ - энергетические машины, преобразующие один вид в какой-либо другой вид энергии.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Установите соответствие между элементами правого и левого столбцов. В ответе запишите через тире цифру из левого столбца и соответствующую правильному ответу букву из правого.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985"/>
        <w:gridCol w:w="567"/>
        <w:gridCol w:w="62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6" w:type="dxa"/>
            <w:gridSpan w:val="2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  <w:i/>
              </w:rPr>
              <w:t>Элементы плашки</w:t>
            </w:r>
          </w:p>
        </w:tc>
        <w:tc>
          <w:tcPr>
            <w:tcW w:w="6865" w:type="dxa"/>
            <w:gridSpan w:val="2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  <w:i/>
              </w:rPr>
              <w:t>Функциональное назначение элементов плашки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внутренняя резьба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обеспечение выхода стружки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сквозные продольные отверстия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обеспечение резания заготовки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режущие кромки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8" w:type="dxa"/>
            <w:shd w:val="clear" w:color="auto" w:fill="auto"/>
            <w:noWrap w:val="0"/>
            <w:vAlign w:val="top"/>
          </w:tcPr>
          <w:p>
            <w:pPr>
              <w:pStyle w:val="6"/>
              <w:spacing w:after="0" w:line="240" w:lineRule="auto"/>
              <w:ind w:left="0" w:left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0"/>
                <w:bCs w:val="0"/>
              </w:rPr>
              <w:t>определение профиля резьбы на заготовке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правильное соответствие (задание по теме «Программирование роботов»)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4194"/>
        <w:gridCol w:w="484"/>
        <w:gridCol w:w="41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Условное обозначение элемента блок-схемы алгоритма</w:t>
            </w:r>
          </w:p>
        </w:tc>
        <w:tc>
          <w:tcPr>
            <w:tcW w:w="4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Шаг алгоритма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27" o:spt="75" type="#_x0000_t75" style="height:24.6pt;width:79.8pt;" o:ole="t" filled="f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PBrush" ShapeID="_x0000_i1027" DrawAspect="Content" ObjectID="_1468075727" r:id="rId19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А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Принятие решения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28" o:spt="75" type="#_x0000_t75" style="height:21.6pt;width:84.6pt;" o:ole="t" filled="f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PBrush" ShapeID="_x0000_i1028" DrawAspect="Content" ObjectID="_1468075728" r:id="rId21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Б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Выполнение действия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III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29" o:spt="75" type="#_x0000_t75" style="height:36pt;width:63pt;" o:ole="t" filled="f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PBrush" ShapeID="_x0000_i1029" DrawAspect="Content" ObjectID="_1468075729" r:id="rId23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В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Начало или конец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IV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30" o:spt="75" type="#_x0000_t75" style="height:29.4pt;width:75pt;" o:ole="t" filled="f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PBrush" ShapeID="_x0000_i1030" DrawAspect="Content" ObjectID="_1468075730" r:id="rId25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Г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Ввод или вывод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Расшифруйте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значение предложенных ниже аббревиатур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8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ГСС</w:t>
            </w:r>
          </w:p>
        </w:tc>
        <w:tc>
          <w:tcPr>
            <w:tcW w:w="832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ЕСТД</w:t>
            </w:r>
          </w:p>
        </w:tc>
        <w:tc>
          <w:tcPr>
            <w:tcW w:w="832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ССБТ</w:t>
            </w:r>
          </w:p>
        </w:tc>
        <w:tc>
          <w:tcPr>
            <w:tcW w:w="832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СГИП</w:t>
            </w:r>
          </w:p>
        </w:tc>
        <w:tc>
          <w:tcPr>
            <w:tcW w:w="832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Для перечисленных в таблице материалов н</w:t>
      </w:r>
      <w:r>
        <w:rPr>
          <w:rFonts w:ascii="Times New Roman" w:hAnsi="Times New Roman"/>
          <w:sz w:val="24"/>
          <w:szCs w:val="24"/>
          <w:lang w:val="ru-RU"/>
        </w:rPr>
        <w:t>арисуйте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в свободных ячейках соответствующую каждому материалу штриховку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7"/>
        <w:gridCol w:w="3304"/>
        <w:gridCol w:w="3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en-US"/>
              </w:rPr>
              <w:t>PLA</w:t>
            </w: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  <w:t>-пластик</w:t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  <w:t>Оргстекло</w:t>
            </w: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/>
                <w:iCs/>
                <w:sz w:val="24"/>
                <w:szCs w:val="24"/>
                <w:vertAlign w:val="baseline"/>
                <w:lang w:val="ru-RU"/>
              </w:rPr>
              <w:t>Металл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3561" w:type="dxa"/>
          </w:tcPr>
          <w:p>
            <w:pPr>
              <w:widowControl/>
              <w:numPr>
                <w:ilvl w:val="0"/>
                <w:numId w:val="0"/>
              </w:numPr>
              <w:suppressAutoHyphens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Творческое задание (5 баллов)</w:t>
      </w:r>
    </w:p>
    <w:p>
      <w:pPr>
        <w:widowControl/>
        <w:numPr>
          <w:ilvl w:val="0"/>
          <w:numId w:val="0"/>
        </w:numPr>
        <w:suppressAutoHyphens/>
        <w:spacing w:after="0" w:line="360" w:lineRule="auto"/>
        <w:ind w:left="360" w:left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bookmarkStart w:id="0" w:name="_GoBack"/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п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одставки под синтезатор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следующей последовательности: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выберите материал</w:t>
      </w:r>
      <w:r>
        <w:rPr>
          <w:rFonts w:hint="default"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 xml:space="preserve"> и поясните свой выбор</w:t>
      </w: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предложите варианты декоративной отделки готового изделия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88210" cy="2188210"/>
            <wp:effectExtent l="0" t="0" r="8890" b="8890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2188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950085" cy="2267585"/>
            <wp:effectExtent l="0" t="0" r="5715" b="5715"/>
            <wp:docPr id="4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rcRect l="25253" t="12115" r="25210" b="10227"/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2267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792605" cy="2155190"/>
            <wp:effectExtent l="0" t="0" r="0" b="0"/>
            <wp:docPr id="5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rcRect l="30557" t="9528" r="29525" b="8392"/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SimSun" w:hAnsi="SimSun" w:eastAsia="SimSun" w:cs="SimSun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Рис. Подставка под синтезатор (из профтрубы).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7-8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62E5EA7"/>
    <w:rsid w:val="2251345B"/>
    <w:rsid w:val="2B210783"/>
    <w:rsid w:val="3FAA4B03"/>
    <w:rsid w:val="480364A7"/>
    <w:rsid w:val="4A40214F"/>
    <w:rsid w:val="4FAF3785"/>
    <w:rsid w:val="531E4F76"/>
    <w:rsid w:val="541D1161"/>
    <w:rsid w:val="59473551"/>
    <w:rsid w:val="611D1D83"/>
    <w:rsid w:val="6EBF7B1B"/>
    <w:rsid w:val="7501696B"/>
    <w:rsid w:val="7CC2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en-US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7.jpeg"/><Relationship Id="rId28" Type="http://schemas.openxmlformats.org/officeDocument/2006/relationships/image" Target="media/image16.jpeg"/><Relationship Id="rId27" Type="http://schemas.openxmlformats.org/officeDocument/2006/relationships/image" Target="media/image15.jpeg"/><Relationship Id="rId26" Type="http://schemas.openxmlformats.org/officeDocument/2006/relationships/image" Target="media/image14.png"/><Relationship Id="rId25" Type="http://schemas.openxmlformats.org/officeDocument/2006/relationships/oleObject" Target="embeddings/oleObject6.bin"/><Relationship Id="rId24" Type="http://schemas.openxmlformats.org/officeDocument/2006/relationships/image" Target="media/image13.png"/><Relationship Id="rId23" Type="http://schemas.openxmlformats.org/officeDocument/2006/relationships/oleObject" Target="embeddings/oleObject5.bin"/><Relationship Id="rId22" Type="http://schemas.openxmlformats.org/officeDocument/2006/relationships/image" Target="media/image12.png"/><Relationship Id="rId21" Type="http://schemas.openxmlformats.org/officeDocument/2006/relationships/oleObject" Target="embeddings/oleObject4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oleObject" Target="embeddings/oleObject2.bin"/><Relationship Id="rId15" Type="http://schemas.openxmlformats.org/officeDocument/2006/relationships/image" Target="media/image8.png"/><Relationship Id="rId14" Type="http://schemas.openxmlformats.org/officeDocument/2006/relationships/oleObject" Target="embeddings/oleObject1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