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723" w:rsidRPr="00787B9E" w:rsidRDefault="00991723" w:rsidP="00787B9E">
      <w:pPr>
        <w:pStyle w:val="ConsPlusTitlePage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6" w:history="1">
        <w:r w:rsidRPr="00787B9E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787B9E">
        <w:rPr>
          <w:rFonts w:ascii="Times New Roman" w:hAnsi="Times New Roman" w:cs="Times New Roman"/>
          <w:sz w:val="24"/>
          <w:szCs w:val="24"/>
        </w:rPr>
        <w:br/>
      </w:r>
    </w:p>
    <w:p w:rsidR="00991723" w:rsidRPr="00787B9E" w:rsidRDefault="00991723" w:rsidP="00787B9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991723" w:rsidRPr="00787B9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91723" w:rsidRPr="00787B9E" w:rsidRDefault="00991723" w:rsidP="00787B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B9E">
              <w:rPr>
                <w:rFonts w:ascii="Times New Roman" w:hAnsi="Times New Roman" w:cs="Times New Roman"/>
                <w:sz w:val="24"/>
                <w:szCs w:val="24"/>
              </w:rPr>
              <w:t>7 мая 2018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91723" w:rsidRPr="00787B9E" w:rsidRDefault="00991723" w:rsidP="00787B9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7B9E">
              <w:rPr>
                <w:rFonts w:ascii="Times New Roman" w:hAnsi="Times New Roman" w:cs="Times New Roman"/>
                <w:sz w:val="24"/>
                <w:szCs w:val="24"/>
              </w:rPr>
              <w:t>N 204</w:t>
            </w:r>
          </w:p>
        </w:tc>
      </w:tr>
    </w:tbl>
    <w:p w:rsidR="00991723" w:rsidRPr="00787B9E" w:rsidRDefault="00991723" w:rsidP="00787B9E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УКАЗ</w:t>
      </w:r>
    </w:p>
    <w:p w:rsidR="00991723" w:rsidRPr="00787B9E" w:rsidRDefault="00991723" w:rsidP="00787B9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ПРЕЗИДЕНТА РОССИЙСКОЙ ФЕДЕРАЦИИ</w:t>
      </w:r>
    </w:p>
    <w:p w:rsidR="00991723" w:rsidRPr="00787B9E" w:rsidRDefault="00991723" w:rsidP="00787B9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 НАЦИОНАЛЬНЫХ ЦЕЛЯХ И СТРАТЕГИЧЕСКИХ ЗАДАЧАХ</w:t>
      </w:r>
    </w:p>
    <w:p w:rsidR="00991723" w:rsidRPr="00787B9E" w:rsidRDefault="00991723" w:rsidP="00787B9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РАЗВИТИЯ РОССИЙСКОЙ ФЕДЕРАЦИИ НА ПЕРИОД ДО 2024 ГОДА</w:t>
      </w:r>
    </w:p>
    <w:p w:rsidR="00991723" w:rsidRPr="00787B9E" w:rsidRDefault="00991723" w:rsidP="00787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 целях осуществления прорывного научно-технологического и социально-экономического развития Российской Федерации, увеличения численности населения страны, повышения уровня жизни граждан, создания комфортных условий для их проживания, а также условий и возможностей для самореализации и раскрытия таланта каждого человека постановляю: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2"/>
      <w:bookmarkEnd w:id="0"/>
      <w:r w:rsidRPr="00787B9E">
        <w:rPr>
          <w:rFonts w:ascii="Times New Roman" w:hAnsi="Times New Roman" w:cs="Times New Roman"/>
          <w:sz w:val="24"/>
          <w:szCs w:val="24"/>
        </w:rPr>
        <w:t>1. Правительству Российской Федерации обеспечить достижение следующих национальных целей развития Российской Федерации на период до 2024 года: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обеспечение устойчивого естественного роста численности населения Российской Федерации;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повышение ожидаемой продолжительности жизни до 78 лет (к 2030 году - до 80 лет);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в) обеспечение устойчивого роста реальных доходов граждан, а также роста уровня пенсионного обеспечения выше уровня инфляции;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г) снижение в два раза уровня бедности в Российской Федерации;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д) улучшение жилищных условий не менее 5 млн. семей ежегодно;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е) ускорение технологического развития Российской Федерации, увеличение количества организаций, осуществляющих технологические инновации, до 50 процентов от их общего числа;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ж) обеспечение ускоренного внедрения цифровых технологий в экономике и социальной сфере;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з) вхождение Российской Федерации в число пяти крупнейших экономик мира, обеспечение темпов экономического роста выше мировых при сохранении макроэкономической стабильности, в том числе инфляции на уровне, не превышающем 4 процентов;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и) создание в базовых отраслях экономики, прежде всего в обрабатывающей промышленности и агропромышленном комплексе, высокопроизводительного экспортно ориентированного сектора, развивающегося на основе современных технологий и обеспеченного высококвалифицированными кадрами.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2. Правительству Российской Федерации: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а) утвердить до 1 октября 2018 г. Основные направления деятельности Правительства Российской Федерации на период до 2024 года и прогноз социально-экономического развития Российской Федерации на период до 2024 года, предусмотрев механизмы и ресурсное обеспечение достижения национальных целей, определенных </w:t>
      </w:r>
      <w:hyperlink w:anchor="P12" w:history="1">
        <w:r w:rsidRPr="00787B9E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787B9E">
        <w:rPr>
          <w:rFonts w:ascii="Times New Roman" w:hAnsi="Times New Roman" w:cs="Times New Roman"/>
          <w:sz w:val="24"/>
          <w:szCs w:val="24"/>
        </w:rPr>
        <w:t xml:space="preserve"> настоящего Указа;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24"/>
      <w:bookmarkEnd w:id="1"/>
      <w:r w:rsidRPr="00787B9E">
        <w:rPr>
          <w:rFonts w:ascii="Times New Roman" w:hAnsi="Times New Roman" w:cs="Times New Roman"/>
          <w:sz w:val="24"/>
          <w:szCs w:val="24"/>
        </w:rPr>
        <w:t xml:space="preserve">б) в соответствии с национальными целями, определенными </w:t>
      </w:r>
      <w:hyperlink w:anchor="P12" w:history="1">
        <w:r w:rsidRPr="00787B9E">
          <w:rPr>
            <w:rFonts w:ascii="Times New Roman" w:hAnsi="Times New Roman" w:cs="Times New Roman"/>
            <w:color w:val="0000FF"/>
            <w:sz w:val="24"/>
            <w:szCs w:val="24"/>
          </w:rPr>
          <w:t>пунктом 1</w:t>
        </w:r>
      </w:hyperlink>
      <w:r w:rsidRPr="00787B9E">
        <w:rPr>
          <w:rFonts w:ascii="Times New Roman" w:hAnsi="Times New Roman" w:cs="Times New Roman"/>
          <w:sz w:val="24"/>
          <w:szCs w:val="24"/>
        </w:rPr>
        <w:t xml:space="preserve"> настоящего Указа, разработать (скорректировать) совместно с органами государственной власти субъектов Российской Федерации и представить до 1 октября 2018 г. для рассмотрения на заседании Совета при Президенте Российской Федерации по стратегическому развитию и приоритетным проектам национальные проекты (программы) по следующим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направлениям: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демография;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здравоохранение;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образование;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жилье и городская среда;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экология;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безопасные и качественные автомобильные дороги;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производительность труда и поддержка занятости;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наука;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цифровая экономика;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культура;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малое и среднее предпринимательство и поддержка индивидуальной предпринимательской инициативы;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международная кооперация и экспорт.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3. Правительству Российской Федерации при разработке национальной программы в сфере демографического развития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ожидаемой продолжительности здоровой жизни до 67 лет;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суммарного коэффициента рождаемости до 1,7;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доли граждан, ведущих здоровый образ жизни, а также увеличение до 55 процентов доли граждан, систематически занимающихся физической культурой и спортом;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механизма финансовой поддержки семей при рождении детей;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условий для осуществления трудовой деятельности женщин, имеющих детей, включая достижение 100-процентной доступности (к 2021 году) дошкольного образования для детей в возрасте до трех лет;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разработка и реализация программы системной поддержки и повышения качества жизни граждан старшего поколения;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системы мотивации граждан к здоровому образу жизни, включая здоровое питание и отказ от вредных привычек;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4. Правительству Российской Федерации при разработке национального проекта в сфере здравоохранения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снижение показателей смертности населения трудоспособного возраста (до 350 случаев на 100 тыс. населения), смертности от болезней системы кровообращения (до 450 случаев на 100 тыс. населения), смертности от новообразований, в том числе от злокачественных (до 185 случаев на 100 тыс. населения), младенческой смертности (до 4,5 случая на 1 тыс. родившихся детей);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ликвидация кадрового дефицита в медицинских организациях, оказывающих первичную медико-санитарную помощь;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охвата всех граждан профилактическими медицинскими осмотрами не реже одного раза в год;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оптимальной доступности для населения (в том числе для жителей населенных пунктов, расположенных в отдаленных местностях) медицинских организаций, оказывающих первичную медико-санитарную помощь;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оптимизация работы медицинских организаций, оказывающих первичную медико-санитарную помощь, сокращение времени ожидания в очереди при обращении граждан в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указанные медицинские организации, упрощение процедуры записи на прием к врачу;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объема экспорта медицинских услуг не менее чем в четыре раза по сравнению с 2017 годом (до 1 млрд. долларов США в год);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завершение формирования сети медицинских организаций первичного звена здравоохранения с использованием в сфере здравоохранения геоинформационной системы с учетом необходимости строительства врачебных амбулаторий, фельдшерских и фельдшерско-акушерских пунктов в населенных пунктах с численностью населения от 100 человек до 2 тыс. человек, а также с учетом использования мобильных медицинских комплексов в населенных пунктах с численностью населения менее 100 человек;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завершение формирования сети национальных медицинских исследовательских центров;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механизмов взаимодействия медицинских организаций на основе единой государственной информационной системы в сфере здравоохранения;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инновационных медицинских технологий, включая систему ранней диагностики и дистанционный мониторинг состояния здоровья пациентов;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медицинских организаций системы здравоохранения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клинических рекомендаций и протоколов лечения и их использование в целях формирования тарифов на оплату медицинской помощи;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разработка и реализация программ борьбы с онкологическими заболеваниями, сердечно-сосудистыми заболеваниями, развития детского здравоохранения, включая создание современной инфраструктуры оказания медицинской помощи детям;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системы защиты прав пациентов;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совершенствование механизма экспорта медицинских услуг.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5. Правительству Российской Федерации при разработке национального проекта в сфере образования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глобальной конкурентоспособности российского образования, вхождение Российской Федерации в число 10 ведущих стран мира по качеству общего образования;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"Технология";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внедрение национальной системы профессионального роста педагогических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работников, охватывающей не менее 50 процентов учителей общеобразовательных организаций;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навыков, включая овладение компетенциями в области цифровой экономики всеми желающими;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системы профессиональных конкурсов в целях предоставления гражданам возможностей для профессионального и карьерного роста;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условий для развития наставничества, поддержки общественных инициатив и проектов, в том числе в сфере добровольчества (волонтерства);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не менее чем в два раза количества иностранных граждан, обучающихся в образовательных организациях высшего образования и научных организациях, а также реализация комплекса мер по трудоустройству лучших из них в Российской Федерации.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6. Правительству Российской Федерации при разработке национального проекта в сфере жилья и городской среды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доступным жильем семей со средним достатком, в том числе создание возможностей для приобретения (строительства) ими жилья с использованием ипотечного кредита, ставка по которому должна быть менее 8 процентов;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объема жилищного строительства не менее чем до 120 млн. квадратных метров в год;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кардинальное повышение комфортности городской среды, повышение индекса качества городской среды на 30 процентов, сокращение в соответствии с этим индексом количества городов с неблагоприятной средой в два раза;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механизма прямого участия граждан в формировании комфортной городской среды, увеличение доли граждан, принимающих участие в решении вопросов развития городской среды, до 30 процентов;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устойчивого сокращения непригодного для проживания жилищного фонда;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совершенствование механизмов финансирования жилищного строительства, в том числе посредством развития рынка ипотечных ценных бумаг и поэтапного перехода от привлечения денежных средств для долевого строительства многоквартирных домов и иных объектов недвижимости к другим формам финансирования жилищного строительства, обеспечивающим защиту прав граждан и снижение рисков для них;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модернизация строительной отрасли и повышение качества индустриального жилищного строительства, в том числе посредством установления ограничений на использование устаревших технологий и стимулирования внедрения передовых технологий в проектировании и строительстве, совершенствование механизмов государственной поддержки строительства стандартного жилья;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снижение административной нагрузки на застройщиков, совершенствование нормативно-правовой базы и порядка регулирования деятельности в сфере жилищного строительства;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эффективного использования земель в целях массового жилищного строительства при условии сохранения и развития зеленого фонда и территорий, на которых располагаются природные объекты, имеющие экологическое, историко-культурное, рекреационное, оздоровительное и иное ценное значение;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создание механизмов переселения граждан из непригодного для проживания жилищного фонда, обеспечивающих соблюдение их жилищных прав, установленных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7. Правительству Российской Федерации при разработке национального проекта в сфере экологии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эффективное обращение с отходами производства и потребления, включая ликвидацию всех выявленных на 1 января 2018 г. несанкционированных свалок в границах городов;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кардинальное снижение уровня загрязнения атмосферного воздуха в крупных промышленных центрах, в том числе уменьшение не менее чем на 20 процентов совокупного объема выбросов загрязняющих веществ в атмосферный воздух в наиболее загрязненных городах;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повышение качества питьевой воды для населения, в том числе для жителей населенных пунктов, не оборудованных современными системами централизованного водоснабжения;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экологическое оздоровление водных объектов, включая реку Волгу, и сохранение уникальных водных систем, включая озера Байкал и Телецкое;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сохранение биологического разнообразия, в том числе посредством создания не менее 24 новых особо охраняемых природных территорий;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комплексной системы обращения с твердыми коммунальными отходами, включая ликвидацию свалок и рекультивацию территорий, на которых они размещены, создание условий для вторичной переработки всех запрещенных к захоронению отходов производства и потребления;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и эффективное функционирование во всех субъектах Российской Федерации системы общественного контроля, направленной на выявление и ликвидацию несанкционированных свалок;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современной инфраструктуры, обеспечивающей безопасное обращение с отходами I и II классов опасности, и ликвидация наиболее опасных объектов накопленного экологического вреда;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реализация комплексных планов мероприятий по снижению выбросов загрязняющих веществ в атмосферный воздух в крупных промышленных центрах, включая города Братск, Красноярск, Липецк, Магнитогорск, Медногорск, Нижний Тагил, Новокузнецк, Норильск, Омск, Челябинск, Череповец и Читу, с учетом сводных расчетов допустимого в этих городах негативного воздействия на окружающую среду;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применение всеми объектами, оказывающими значительное негативное воздействие на окружающую среду, системы экологического регулирования, основанной на использовании наилучших доступных технологий;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повышение качества питьевой воды посредством модернизации систем водоснабжения с использованием перспективных технологий водоподготовки, включая технологии, разработанные организациями оборонно-промышленного комплекса;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экологическая реабилитация водных объектов, в том числе реализация проекта, направленного на сокращение в три раза доли загрязненных сточных вод, отводимых в реку Волгу, устойчивое функционирование водохозяйственного комплекса Нижней Волги и сохранение экосистемы Волго-Ахтубинской поймы;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сохранение уникальных водных объектов, в том числе реализация проекта по сохранению озера Байкал, а также мероприятий по очистке от мусора берегов и прибрежной акватории озер Байкал, Телецкое, Ладожское, Онежское и рек Волги, Дона, Оби, Енисея, Амура, Урала, Печоры;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сохранение биологического разнообразия, включая увеличение площади особо охраняемых природных территорий на 5 млн. гектаров, реинтродукцию редких видов животных, создание инфраструктуры для экологического туризма в национальных парках, а также сохранение лесов, в том числе на основе их воспроизводства на всех участках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вырубленных и погибших лесных насаждений.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8. Правительству Российской Федерации при разработке национального проекта по созданию безопасных и качественных автомобильных дорог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доли автомобильных дорог регионального значения, соответствующих нормативным требованиям, в их общей протяженности не менее чем до 50 процентов (относительно их протяженности по состоянию на 31 декабря 2017 г.), а также утверждение органами государственной власти субъектов Российской Федерации таких нормативов исходя из установленных на федеральном уровне требований безопасности автомобильных дорог;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снижение доли автомобильных дорог федерального и регионального значения, работающих в режиме перегрузки, в их общей протяженности на 10 процентов по сравнению с 2017 годом;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снижение количества мест концентрации дорожно-транспортных происшествий (аварийно-опасных участков) на дорожной сети в два раза по сравнению с 2017 годом;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снижение смертности в результате дорожно-транспортных происшествий в 3,5 раза по сравнению с 2017 годом - до уровня, не превышающего четырех человек на 100 тыс. населения (к 2030 году - стремление к нулевому уровню смертности);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доведение в крупнейших городских агломерациях доли автомобильных дорог, соответствующих нормативным требованиям, в их общей протяженности до 85 процентов;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применение новых механизмов развития и эксплуатации дорожной сети, включая использование инфраструктурной ипотеки, контрактов жизненного цикла, наилучших технологий и материалов;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доведение норматива зачисления налоговых доходов бюджетов субъектов Российской Федерации от акцизов на горюче-смазочные материалы до 100 процентов;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общедоступной информационной системы контроля за формированием и использованием средств дорожных фондов всех уровней (в 2019 году);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механизмов экономического стимулирования сохранности автомобильных дорог регионального и местного значения;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новых технических требований и стандартов обустройства автомобильных дорог, в том числе на основе цифровых технологий, направленных на устранение мест концентрации дорожно-транспортных происшествий;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автоматизированных и роботизированных технологий организации дорожного движения и контроля за соблюдением правил дорожного движения;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усиление ответственности водителей за нарушение правил дорожного движения, а также повышение требований к уровню их профессиональной подготовки.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9. Правительству Российской Федерации при реализации совместно с органами государственной власти субъектов Российской Федерации национальной программы в сфере повышения производительности труда и поддержки занятости обеспечить в 2024 году: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рост производительности труда на средних и крупных предприятиях базовых несырьевых отраслей экономики не ниже 5 процентов в год;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привлечение к участию в реализации указанной национальной программы не менее 10 субъектов Российской Федерации ежегодно;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вовлечение в реализацию указанной национальной программы не менее 10 тыс. средних и крупных предприятий базовых несырьевых отраслей экономики;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стимулирование внедрения передовых управленческих, организационных и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технологических решений для повышения производительности труда и модернизации основных фондов, в том числе посредством предоставления налоговых преференций;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сокращение нормативно-правовых и административных ограничений, препятствующих росту производительности труда, а также замещение устаревших и непроизводительных рабочих мест;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системы методической и организационной поддержки повышения производительности труда на предприятиях;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системы подготовки кадров, направленной на обучение основам повышения производительности труда, в том числе посредством использования цифровых технологий и платформенных решений.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10. Правительству Российской Федерации при разработке национального проекта в сфере науки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присутствия Российской Федерации в числе пяти ведущих стран мира, осуществляющих научные исследования и разработки в областях, определяемых приоритетами научно-технологического развития;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привлекательности работы в Российской Федерации для российских и зарубежных ведущих ученых и молодых перспективных исследователей;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опережающее увеличение внутренних затрат на научные исследования и разработки за счет всех источников по сравнению с ростом валового внутреннего продукта страны;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передовой инфраструктуры научных исследований и разработок, инновационной деятельности, включая создание и развитие сети уникальных научных установок класса "мегасайенс";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обновление не менее 50 процентов приборной базы ведущих организаций, выполняющих научные исследования и разработки;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научных центров мирового уровня, включая сеть международных математических центров и центров геномных исследований;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не менее 15 научно-образовательных центров мирового уровня на основе интеграции университетов и научных организаций и их кооперации с организациями, действующими в реальном секторе экономики;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целостной системы подготовки и профессионального роста научных и научно-педагогических кадров, обеспечивающей условия для осуществления молодыми учеными научных исследований и разработок, создания научных лабораторий и конкурентоспособных коллективов.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11. Правительству Российской Федерации при реализации совместно с органами государственной власти субъектов Российской Федерации национальной </w:t>
      </w:r>
      <w:hyperlink r:id="rId7" w:history="1">
        <w:r w:rsidRPr="00787B9E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787B9E">
        <w:rPr>
          <w:rFonts w:ascii="Times New Roman" w:hAnsi="Times New Roman" w:cs="Times New Roman"/>
          <w:sz w:val="24"/>
          <w:szCs w:val="24"/>
        </w:rPr>
        <w:t xml:space="preserve"> "Цифровая экономика Российской Федерации" обеспечить в 2024 году: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увеличение внутренних затрат на развитие цифровой экономики за счет всех источников (по доле в валовом внутреннем продукте страны) не менее чем в три раза по сравнению с 2017 годом;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устойчивой и безопасной информационно-телекоммуникационной инфраструктуры высокоскоростной передачи, обработки и хранения больших объемов данных, доступной для всех организаций и домохозяйств;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использование преимущественно отечественного программного обеспечения государственными органами, органами местного самоуправления и организациями;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системы правового регулирования цифровой экономики, основанного на гибком подходе в каждой сфере, а также внедрение гражданского оборота на базе цифровых технологий;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создание глобальной конкурентоспособной инфраструктуры передачи, обработки и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хранения данных преимущественно на основе отечественных разработок;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подготовки высококвалифицированных кадров для цифровой экономики;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личности, бизнеса и государства;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сквозных цифровых технологий преимущественно на основе отечественных разработок;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внедрение цифровых технологий и платформенных решений в сферах государственного управления и оказания государственных услуг, в том числе в интересах населения и субъектов малого и среднего предпринимательства, включая индивидуальных предпринимателей;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преобразование приоритетных отраслей экономики и социальной сферы, включая здравоохранение, образование, промышленность, сельское хозяйство, строительство, городское хозяйство, транспортную и энергетическую инфраструктуру, финансовые услуги, посредством внедрения цифровых технологий и платформенных решений;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комплексной системы финансирования проектов по разработке и (или) внедрению цифровых технологий и платформенных решений, включающей в себя венчурное финансирование и иные институты развития;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разработка и внедрение национального механизма осуществления согласованной политики государств - членов Евразийского экономического союза при реализации планов в области развития цифровой экономики.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12. Правительству Российской Федерации при разработке национальной программы в сфере культуры обратить особое внимание на необходимость: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укрепления российской гражданской идентичности на основе духовно-нравственных и культурных ценностей народов Российской Федерации;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создания (реконструкции) культурно-образовательных и музейных комплексов, включающих в себя концертные залы, театральные, музыкальные, хореографические и другие творческие школы, а также выставочные пространства;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в) обеспечения детских музыкальных, художественных, хореографических школ, училищ и школ искусств необходимыми инструментами, оборудованием и материалами;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г) продвижения талантливой молодежи в сфере музыкального искусства, в том числе посредством создания национального молодежного симфонического оркестра;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д) создания (реконструкции) культурно-досуговых организаций клубного типа на территориях сельских поселений, развития муниципальных библиотек;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е) создания виртуальных концертных залов не менее чем в 500 городах Российской Федерации;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ж) создания условий для показа национальных кинофильмов в кинозалах, расположенных в населенных пунктах с численностью населения до 500 тыс. человек;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з) подготовки кадров для организаций культуры;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и) модернизации региональных и муниципальных театров юного зрителя и кукольных театров путем их реконструкции и капитального ремонта;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к) поддержки добровольческих движений, в том числе в сфере сохранения культурного наследия народов Российской Федерации.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13. Правительству Российской Федерации при реализации совместно с органами государственной власти субъектов Российской Федерации национального проекта в сфере развития малого и среднего предпринимательства и поддержки индивидуальной предпринимательской инициативы обеспечить в 2024 году: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следующего целевого показателя: увеличение численности занятых в сфере малого и среднего предпринимательства, включая индивидуальных предпринимателей, до 25 млн. человек;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lastRenderedPageBreak/>
        <w:t>улучшение условий ведения предпринимательской деятельности, включая упрощение налоговой отчетности для предпринимателей, применяющих контрольно-кассовую технику;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цифровой платформы, ориентированной на поддержку производственной и сбытовой деятельности субъектов малого и среднего предпринимательства, включая индивидуальных предпринимателей;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совершенствование системы закупок, осуществляемых крупнейшими заказчиками у субъектов малого и среднего предпринимательства, включая индивидуальных предпринимателей;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упрощение доступа к льготному финансированию, в том числе ежегодное увеличение объема льготных кредитов, выдаваемых субъектам малого и среднего предпринимательства, включая индивидуальных предпринимателей;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системы акселерации субъектов малого и среднего предпринимательства, включая индивидуальных предпринимателей, в том числе инфраструктуры и сервисов поддержки, а также их ускоренное развитие в таких областях, как благоустройство городской среды, научно-технологическая сфера, социальная сфера и экология;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модернизация системы поддержки экспортеров, являющихся субъектами малого и среднего предпринимательства, включая индивидуальных предпринимателей, увеличение доли таких экспортеров в общем объеме несырьевого экспорта не менее чем до 10 процентов;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системы поддержки фермеров и развитие сельской кооперации;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обеспечение благоприятных условий осуществления деятельности самозанятыми гражданами посредством создания нового режима налогообложения, предусматривающего передачу информации о продажах в налоговые органы Российской Федерации в автоматическом режиме, освобождение от обязанности представлять отчетность, а также уплату единого платежа с выручки, включающего в себя страховые взносы.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14. Правительству Российской Федерации при разработке национальной программы в сфере развития международной кооперации и экспорта исходить из того, что в 2024 году необходимо обеспечить: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достижение следующих целей и целевых показателей: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в обрабатывающей промышленности, сельском хозяйстве, сфере услуг глобальных конкурентоспособных несырьевых секторов, общая доля экспорта товаров (работ, услуг) которых составит не менее 20 процентов валового внутреннего продукта страны;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достижение объема экспорта (в стоимостном выражении) несырьевых неэнергетических товаров в размере 250 млрд. долларов США в год, в том числе продукции машиностроения - 50 млрд. долларов США в год и продукции агропромышленного комплекса - 45 млрд. долларов США в год, а также объема экспорта оказываемых услуг в размере 100 млрд. долларов США в год;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формирование эффективной системы разделения труда и производственной кооперации в рамках Евразийского экономического союза в целях увеличения объема торговли между государствами - членами Союза не менее чем в полтора раза и обеспечения роста объема накопленных взаимных инвестиций в полтора раза;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решение следующих задач: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ориентация промышленной, аграрной и торговой политики, включая применяемые механизмы государственной поддержки, на достижение международной конкурентоспособности российских товаров (работ, услуг) в целях обеспечения их присутствия на внешних рынках;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сокращение административных процедур и барьеров в сфере международной торговли, включая отмену избыточных требований при лицензировании экспорта и осуществлении валютного контроля, организация (к 2021 году) взаимодействия субъектов </w:t>
      </w:r>
      <w:r w:rsidRPr="00787B9E">
        <w:rPr>
          <w:rFonts w:ascii="Times New Roman" w:hAnsi="Times New Roman" w:cs="Times New Roman"/>
          <w:sz w:val="24"/>
          <w:szCs w:val="24"/>
        </w:rPr>
        <w:lastRenderedPageBreak/>
        <w:t>международной торговли с контролирующими органами по принципу "одного окна";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завершение создания гибкой линейки финансовых инструментов поддержки экспорта (к 2021 году), включая расширенное предэкспортное, экспортное и акционерное финансирование, лизинг и долгосрочные меры поддержки;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устранение логистических ограничений при экспорте товаров с использованием железнодорожного, автомобильного и морского транспорта, а также строительство (модернизация) пунктов пропуска через государственную границу Российской Федерации;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создание единой системы институтов продвижения экспорта, предусматривающей модернизацию торговых представительств Российской Федерации за рубежом;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завершение формирования в рамках Евразийского экономического союза общих рынков товаров, услуг, капитала и рабочей силы, включая окончательное устранение барьеров, ограничений и отмену изъятий в экономическом сотрудничестве, при одновременном активном использовании механизмов совместной проектной деятельности.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15. Правительству Российской Федерации на основе стратегии пространственного развития Российской Федерации разработать с участием органов государственной власти субъектов Российской Федерации и до 1 октября 2018 г. утвердить комплексный план модернизации и расширения магистральной инфраструктуры, предусматривающий обеспечение в 2024 году: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а) развития транспортных коридоров "Запад - Восток" и "Север - Юг" для перевозки грузов, в том числе за счет: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строительства и модернизации российских участков автомобильных дорог, относящихся к международному транспортному маршруту "Европа - Западный Китай";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увеличения мощностей морских портов Российской Федерации, включая порты Дальневосточного, Северо-Западного, Волго-Каспийского и Азово-Черноморского бассейнов;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развития Северного морского пути и увеличения грузопотока по нему до 80 млн. тонн;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сокращения времени перевозки контейнеров железнодорожным транспортом, в частности с Дальнего Востока до западной границы Российской Федерации до семи дней, и увеличения объема транзитных перевозок контейнеров железнодорожным транспортом в четыре раза;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формирования узловых грузовых мультимодальных транспортно-логистических центров;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увеличения пропускной способности Байкало-Амурской и Транссибирской железнодорожных магистралей в полтора раза, до 180 млн. тонн;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увеличения пропускной способности железнодорожных подходов к морским портам Азово-Черноморского бассейна;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б) повышения уровня экономической связанности территории Российской Федерации посредством расширения и модернизации железнодорожной, авиационной, автодорожной, морской и речной инфраструктуры, в том числе за счет: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поэтапного развития транспортных коммуникаций между административными центрами субъектов Российской Федерации и другими городами - центрами экономического роста, включая ликвидацию инфраструктурных ограничений на имеющих перспективы развития территориях, прилегающих к таким транспортным коммуникациям;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реконструкции инфраструктуры региональных аэропортов и расширения сети межрегиональных регулярных пассажирских авиационных маршрутов, минуя Москву, до 50 процентов от общего количества внутренних регулярных авиационных маршрутов;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создания основы для развития скоростного и высокоскоростного железнодорожного сообщения между крупными городами;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увеличения пропускной способности внутренних водных путей;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lastRenderedPageBreak/>
        <w:t>в) гарантированного обеспечения доступной электроэнергией, в том числе за счет: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электрификации транспортных коридоров "Запад - Восток" и "Север - Юг", включая Байкало-Амурскую и Транссибирскую железнодорожные магистрали, во взаимосвязи с развитием транспортной инфраструктуры;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развития централизованных энергосистем, включая модернизацию генерирующих мощностей тепловых, атомных и гидроэлектростанций в соответствии с потребностями социально-экономического развития;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устойчивого энергоснабжения потребителей на территориях субъектов Российской Федерации, прежде всего Республики Крым, г. Севастополя, Калининградской области, а также субъектов Российской Федерации, входящих в состав Дальневосточного федерального округа;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развития распределенной генерации, в том числе на основе возобновляемых источников энергии, в первую очередь в удаленных и изолированных энергорайонах;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внедрения интеллектуальных систем управления электросетевым хозяйством на базе цифровых технологий.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16. Правительству Российской Федерации: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а) ежегодно при формировании проекта федерального бюджета на очередной финансовый год и на плановый период предусматривать в приоритетном порядке бюджетные ассигнования федерального бюджета на реализацию национальных проектов (программ), названных в </w:t>
      </w:r>
      <w:hyperlink w:anchor="P24" w:history="1">
        <w:r w:rsidRPr="00787B9E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2</w:t>
        </w:r>
      </w:hyperlink>
      <w:r w:rsidRPr="00787B9E">
        <w:rPr>
          <w:rFonts w:ascii="Times New Roman" w:hAnsi="Times New Roman" w:cs="Times New Roman"/>
          <w:sz w:val="24"/>
          <w:szCs w:val="24"/>
        </w:rPr>
        <w:t xml:space="preserve"> настоящего Указа;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 xml:space="preserve">б) обеспечить направление в приоритетном порядке дополнительных доходов федерального бюджета, образующихся в ходе его исполнения, на реализацию национальных проектов (программ), названных в </w:t>
      </w:r>
      <w:hyperlink w:anchor="P24" w:history="1">
        <w:r w:rsidRPr="00787B9E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пункта 2</w:t>
        </w:r>
      </w:hyperlink>
      <w:r w:rsidRPr="00787B9E">
        <w:rPr>
          <w:rFonts w:ascii="Times New Roman" w:hAnsi="Times New Roman" w:cs="Times New Roman"/>
          <w:sz w:val="24"/>
          <w:szCs w:val="24"/>
        </w:rPr>
        <w:t xml:space="preserve"> настоящего Указа.</w:t>
      </w:r>
    </w:p>
    <w:p w:rsidR="00991723" w:rsidRPr="00787B9E" w:rsidRDefault="00991723" w:rsidP="00787B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17. Настоящий Указ вступает в силу со дня его официального опубликования.</w:t>
      </w:r>
    </w:p>
    <w:p w:rsidR="00991723" w:rsidRPr="00787B9E" w:rsidRDefault="00991723" w:rsidP="00787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Президент</w:t>
      </w:r>
    </w:p>
    <w:p w:rsidR="00991723" w:rsidRPr="00787B9E" w:rsidRDefault="00991723" w:rsidP="00787B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991723" w:rsidRPr="00787B9E" w:rsidRDefault="00991723" w:rsidP="00787B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В.ПУТИН</w:t>
      </w:r>
    </w:p>
    <w:p w:rsidR="00991723" w:rsidRPr="00787B9E" w:rsidRDefault="00991723" w:rsidP="00787B9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Москва, Кремль</w:t>
      </w:r>
    </w:p>
    <w:p w:rsidR="00991723" w:rsidRPr="00787B9E" w:rsidRDefault="00991723" w:rsidP="00787B9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7 мая 2018 года</w:t>
      </w:r>
    </w:p>
    <w:p w:rsidR="00991723" w:rsidRPr="00787B9E" w:rsidRDefault="00991723" w:rsidP="00787B9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787B9E">
        <w:rPr>
          <w:rFonts w:ascii="Times New Roman" w:hAnsi="Times New Roman" w:cs="Times New Roman"/>
          <w:sz w:val="24"/>
          <w:szCs w:val="24"/>
        </w:rPr>
        <w:t>N 204</w:t>
      </w:r>
    </w:p>
    <w:p w:rsidR="00991723" w:rsidRPr="00787B9E" w:rsidRDefault="00991723" w:rsidP="00787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1723" w:rsidRPr="00787B9E" w:rsidRDefault="00991723" w:rsidP="00787B9E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3168C" w:rsidRPr="00787B9E" w:rsidRDefault="0033168C" w:rsidP="00787B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3168C" w:rsidRPr="00787B9E" w:rsidSect="00F979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2471" w:rsidRDefault="00C42471" w:rsidP="00787B9E">
      <w:pPr>
        <w:spacing w:after="0" w:line="240" w:lineRule="auto"/>
      </w:pPr>
      <w:r>
        <w:separator/>
      </w:r>
    </w:p>
  </w:endnote>
  <w:endnote w:type="continuationSeparator" w:id="1">
    <w:p w:rsidR="00C42471" w:rsidRDefault="00C42471" w:rsidP="00787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9E" w:rsidRDefault="00787B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942844"/>
      <w:docPartObj>
        <w:docPartGallery w:val="Page Numbers (Bottom of Page)"/>
        <w:docPartUnique/>
      </w:docPartObj>
    </w:sdtPr>
    <w:sdtContent>
      <w:p w:rsidR="00787B9E" w:rsidRDefault="00787B9E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87B9E" w:rsidRDefault="00787B9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9E" w:rsidRDefault="00787B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2471" w:rsidRDefault="00C42471" w:rsidP="00787B9E">
      <w:pPr>
        <w:spacing w:after="0" w:line="240" w:lineRule="auto"/>
      </w:pPr>
      <w:r>
        <w:separator/>
      </w:r>
    </w:p>
  </w:footnote>
  <w:footnote w:type="continuationSeparator" w:id="1">
    <w:p w:rsidR="00C42471" w:rsidRDefault="00C42471" w:rsidP="00787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9E" w:rsidRDefault="00787B9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9E" w:rsidRDefault="00787B9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B9E" w:rsidRDefault="00787B9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1723"/>
    <w:rsid w:val="00127876"/>
    <w:rsid w:val="00184F09"/>
    <w:rsid w:val="00193E1E"/>
    <w:rsid w:val="001F6D06"/>
    <w:rsid w:val="003122FB"/>
    <w:rsid w:val="0033168C"/>
    <w:rsid w:val="00341A5C"/>
    <w:rsid w:val="00541DED"/>
    <w:rsid w:val="005501F0"/>
    <w:rsid w:val="00787B9E"/>
    <w:rsid w:val="00856BD7"/>
    <w:rsid w:val="008A4BAE"/>
    <w:rsid w:val="00991723"/>
    <w:rsid w:val="009A418F"/>
    <w:rsid w:val="009D7007"/>
    <w:rsid w:val="00BA33BF"/>
    <w:rsid w:val="00C36537"/>
    <w:rsid w:val="00C42471"/>
    <w:rsid w:val="00CE0FBA"/>
    <w:rsid w:val="00D92140"/>
    <w:rsid w:val="00DE79BF"/>
    <w:rsid w:val="00E934D4"/>
    <w:rsid w:val="00EA3702"/>
    <w:rsid w:val="00FC0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1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917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8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87B9E"/>
  </w:style>
  <w:style w:type="paragraph" w:styleId="a5">
    <w:name w:val="footer"/>
    <w:basedOn w:val="a"/>
    <w:link w:val="a6"/>
    <w:uiPriority w:val="99"/>
    <w:unhideWhenUsed/>
    <w:rsid w:val="00787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7B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5C05DD6EF8E71E784935E49A03670C455A2E73F2656E98C4CF3642A0E5900D64BA4963236B8B34BT4zCF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5127</Words>
  <Characters>29226</Characters>
  <Application>Microsoft Office Word</Application>
  <DocSecurity>0</DocSecurity>
  <Lines>243</Lines>
  <Paragraphs>68</Paragraphs>
  <ScaleCrop>false</ScaleCrop>
  <Company>Департамент образования мэрии</Company>
  <LinksUpToDate>false</LinksUpToDate>
  <CharactersWithSpaces>34285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ivanovaea</dc:creator>
  <cp:keywords/>
  <dc:description/>
  <cp:lastModifiedBy>User</cp:lastModifiedBy>
  <cp:revision>2</cp:revision>
  <dcterms:created xsi:type="dcterms:W3CDTF">2018-05-10T05:51:00Z</dcterms:created>
  <dcterms:modified xsi:type="dcterms:W3CDTF">2018-08-28T12:19:00Z</dcterms:modified>
</cp:coreProperties>
</file>